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B9EB" w14:textId="77777777" w:rsidR="00AD4868" w:rsidRDefault="00AD4868" w:rsidP="00AD4868">
      <w:pPr>
        <w:topLinePunct/>
        <w:snapToGrid w:val="0"/>
        <w:spacing w:line="312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szCs w:val="21"/>
        </w:rPr>
        <w:t>附件表1：</w:t>
      </w:r>
      <w:r>
        <w:rPr>
          <w:rFonts w:ascii="宋体" w:hAnsi="宋体" w:hint="eastAsia"/>
          <w:b/>
          <w:bCs/>
          <w:szCs w:val="21"/>
        </w:rPr>
        <w:t xml:space="preserve">物资名称及包件划分 </w:t>
      </w:r>
    </w:p>
    <w:tbl>
      <w:tblPr>
        <w:tblW w:w="14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828"/>
        <w:gridCol w:w="1248"/>
        <w:gridCol w:w="1236"/>
        <w:gridCol w:w="1116"/>
        <w:gridCol w:w="1128"/>
        <w:gridCol w:w="1392"/>
        <w:gridCol w:w="1008"/>
        <w:gridCol w:w="1272"/>
        <w:gridCol w:w="1452"/>
        <w:gridCol w:w="1308"/>
        <w:gridCol w:w="1500"/>
      </w:tblGrid>
      <w:tr w:rsidR="00AD4868" w14:paraId="712C6509" w14:textId="77777777" w:rsidTr="0066468B">
        <w:trPr>
          <w:trHeight w:val="777"/>
        </w:trPr>
        <w:tc>
          <w:tcPr>
            <w:tcW w:w="640" w:type="dxa"/>
            <w:vAlign w:val="center"/>
          </w:tcPr>
          <w:p w14:paraId="5FD4313B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6A717B7F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1E9BB9E4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573711E1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116" w:type="dxa"/>
            <w:vAlign w:val="center"/>
          </w:tcPr>
          <w:p w14:paraId="76B5CB76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128" w:type="dxa"/>
            <w:vAlign w:val="center"/>
          </w:tcPr>
          <w:p w14:paraId="374B6F32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包件数量</w:t>
            </w:r>
          </w:p>
        </w:tc>
        <w:tc>
          <w:tcPr>
            <w:tcW w:w="1392" w:type="dxa"/>
            <w:vAlign w:val="center"/>
          </w:tcPr>
          <w:p w14:paraId="63F5986B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交货地点</w:t>
            </w:r>
          </w:p>
        </w:tc>
        <w:tc>
          <w:tcPr>
            <w:tcW w:w="1008" w:type="dxa"/>
            <w:vAlign w:val="center"/>
          </w:tcPr>
          <w:p w14:paraId="5FE5371B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包件售价（元）</w:t>
            </w:r>
          </w:p>
        </w:tc>
        <w:tc>
          <w:tcPr>
            <w:tcW w:w="1272" w:type="dxa"/>
            <w:vAlign w:val="center"/>
          </w:tcPr>
          <w:p w14:paraId="777FF8C5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谈判保证金（万元）</w:t>
            </w:r>
          </w:p>
        </w:tc>
        <w:tc>
          <w:tcPr>
            <w:tcW w:w="1452" w:type="dxa"/>
            <w:vAlign w:val="center"/>
          </w:tcPr>
          <w:p w14:paraId="0377A856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交货状态</w:t>
            </w:r>
          </w:p>
        </w:tc>
        <w:tc>
          <w:tcPr>
            <w:tcW w:w="1308" w:type="dxa"/>
            <w:vAlign w:val="center"/>
          </w:tcPr>
          <w:p w14:paraId="2081AE01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交货条件</w:t>
            </w:r>
          </w:p>
        </w:tc>
        <w:tc>
          <w:tcPr>
            <w:tcW w:w="1500" w:type="dxa"/>
            <w:vAlign w:val="center"/>
          </w:tcPr>
          <w:p w14:paraId="29FD3023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交货期</w:t>
            </w:r>
          </w:p>
        </w:tc>
      </w:tr>
      <w:tr w:rsidR="00AD4868" w14:paraId="0F245645" w14:textId="77777777" w:rsidTr="0066468B">
        <w:trPr>
          <w:trHeight w:hRule="exact" w:val="815"/>
        </w:trPr>
        <w:tc>
          <w:tcPr>
            <w:tcW w:w="640" w:type="dxa"/>
            <w:vAlign w:val="center"/>
          </w:tcPr>
          <w:p w14:paraId="4F2CFE8F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14:paraId="0C2E8A32" w14:textId="77777777" w:rsidR="00AD4868" w:rsidRDefault="00AD4868" w:rsidP="0066468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01-HNT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70785642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泡沫混凝土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539227B9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强度1.0MPa</w:t>
            </w:r>
          </w:p>
        </w:tc>
        <w:tc>
          <w:tcPr>
            <w:tcW w:w="1116" w:type="dxa"/>
            <w:vAlign w:val="center"/>
          </w:tcPr>
          <w:p w14:paraId="290AC6E4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  <w:lang w:bidi="ar"/>
              </w:rPr>
              <w:t>3</w:t>
            </w:r>
          </w:p>
        </w:tc>
        <w:tc>
          <w:tcPr>
            <w:tcW w:w="1128" w:type="dxa"/>
            <w:vAlign w:val="center"/>
          </w:tcPr>
          <w:p w14:paraId="1D7CD4C6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92" w:type="dxa"/>
            <w:vMerge w:val="restart"/>
            <w:vAlign w:val="center"/>
          </w:tcPr>
          <w:p w14:paraId="58FB6F65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厦门市海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沧区芦坑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村中铁隧道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局集团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建设有限公司厦门芦澳路项目部</w:t>
            </w:r>
          </w:p>
        </w:tc>
        <w:tc>
          <w:tcPr>
            <w:tcW w:w="1008" w:type="dxa"/>
            <w:vMerge w:val="restart"/>
            <w:vAlign w:val="center"/>
          </w:tcPr>
          <w:p w14:paraId="40ED49C3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272" w:type="dxa"/>
            <w:vMerge w:val="restart"/>
            <w:vAlign w:val="center"/>
          </w:tcPr>
          <w:p w14:paraId="6A339009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vMerge w:val="restart"/>
            <w:vAlign w:val="center"/>
          </w:tcPr>
          <w:p w14:paraId="57298D13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符合各项质量、技术指标，施工工地验收交货</w:t>
            </w:r>
          </w:p>
        </w:tc>
        <w:tc>
          <w:tcPr>
            <w:tcW w:w="1308" w:type="dxa"/>
            <w:vMerge w:val="restart"/>
            <w:vAlign w:val="center"/>
          </w:tcPr>
          <w:p w14:paraId="7015E9A4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符合各项质量、技术指标，施工工地验收交货</w:t>
            </w:r>
          </w:p>
        </w:tc>
        <w:tc>
          <w:tcPr>
            <w:tcW w:w="1500" w:type="dxa"/>
            <w:vMerge w:val="restart"/>
            <w:vAlign w:val="center"/>
          </w:tcPr>
          <w:p w14:paraId="13B12D52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自合同签订之日起至工程结束</w:t>
            </w:r>
          </w:p>
        </w:tc>
      </w:tr>
      <w:tr w:rsidR="00AD4868" w14:paraId="344FB594" w14:textId="77777777" w:rsidTr="0066468B">
        <w:trPr>
          <w:trHeight w:hRule="exact" w:val="588"/>
        </w:trPr>
        <w:tc>
          <w:tcPr>
            <w:tcW w:w="640" w:type="dxa"/>
            <w:vAlign w:val="center"/>
          </w:tcPr>
          <w:p w14:paraId="000E4061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14:paraId="3DC87C44" w14:textId="77777777" w:rsidR="00AD4868" w:rsidRDefault="00AD4868" w:rsidP="0066468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4F540AEE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663425D9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799CEA6B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13D9FCFD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vAlign w:val="center"/>
          </w:tcPr>
          <w:p w14:paraId="2CCB41F7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14:paraId="0CAE6239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14:paraId="18FACEBF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2" w:type="dxa"/>
            <w:vMerge/>
            <w:vAlign w:val="center"/>
          </w:tcPr>
          <w:p w14:paraId="68DA250A" w14:textId="77777777" w:rsidR="00AD4868" w:rsidRDefault="00AD4868" w:rsidP="0066468B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13CBDE8E" w14:textId="77777777" w:rsidR="00AD4868" w:rsidRDefault="00AD4868" w:rsidP="0066468B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/>
            <w:vAlign w:val="center"/>
          </w:tcPr>
          <w:p w14:paraId="0F25B2F9" w14:textId="77777777" w:rsidR="00AD4868" w:rsidRDefault="00AD4868" w:rsidP="0066468B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D4868" w14:paraId="44B92B0B" w14:textId="77777777" w:rsidTr="0066468B">
        <w:trPr>
          <w:trHeight w:hRule="exact" w:val="550"/>
        </w:trPr>
        <w:tc>
          <w:tcPr>
            <w:tcW w:w="640" w:type="dxa"/>
            <w:vAlign w:val="center"/>
          </w:tcPr>
          <w:p w14:paraId="70F5AE4D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14:paraId="1C2CC160" w14:textId="77777777" w:rsidR="00AD4868" w:rsidRDefault="00AD4868" w:rsidP="0066468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7C034E06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25D52754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7D5291C3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  <w:lang w:bidi="ar"/>
              </w:rPr>
              <w:t>3</w:t>
            </w:r>
          </w:p>
        </w:tc>
        <w:tc>
          <w:tcPr>
            <w:tcW w:w="1128" w:type="dxa"/>
            <w:vAlign w:val="center"/>
          </w:tcPr>
          <w:p w14:paraId="63AED448" w14:textId="77777777" w:rsidR="00AD4868" w:rsidRDefault="00AD4868" w:rsidP="006646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92" w:type="dxa"/>
            <w:vMerge/>
            <w:vAlign w:val="center"/>
          </w:tcPr>
          <w:p w14:paraId="4512C478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14:paraId="7C080229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14:paraId="5A47E58A" w14:textId="77777777" w:rsidR="00AD4868" w:rsidRDefault="00AD4868" w:rsidP="0066468B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2" w:type="dxa"/>
            <w:vMerge/>
            <w:vAlign w:val="center"/>
          </w:tcPr>
          <w:p w14:paraId="133DC8B6" w14:textId="77777777" w:rsidR="00AD4868" w:rsidRDefault="00AD4868" w:rsidP="0066468B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44499EF8" w14:textId="77777777" w:rsidR="00AD4868" w:rsidRDefault="00AD4868" w:rsidP="0066468B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/>
            <w:vAlign w:val="center"/>
          </w:tcPr>
          <w:p w14:paraId="57647A6A" w14:textId="77777777" w:rsidR="00AD4868" w:rsidRDefault="00AD4868" w:rsidP="0066468B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0EB52C7A" w14:textId="77777777" w:rsidR="00AD4868" w:rsidRDefault="00AD4868" w:rsidP="00AD4868">
      <w:pPr>
        <w:topLinePunct/>
        <w:snapToGrid w:val="0"/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备注：</w:t>
      </w:r>
      <w:r>
        <w:rPr>
          <w:rFonts w:ascii="宋体" w:hAnsi="宋体" w:cs="宋体" w:hint="eastAsia"/>
          <w:szCs w:val="21"/>
        </w:rPr>
        <w:t>1.以上物资材料数量、规格、型号在实施阶段可能有一定调整，最终数量、规格、型号应以买方下达的发货订单为准。</w:t>
      </w:r>
    </w:p>
    <w:p w14:paraId="5777F1E0" w14:textId="77777777" w:rsidR="00AD4868" w:rsidRDefault="00AD4868" w:rsidP="00AD4868">
      <w:pPr>
        <w:pStyle w:val="a3"/>
        <w:spacing w:line="240" w:lineRule="exact"/>
        <w:ind w:firstLineChars="300" w:firstLine="63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2.供货时间为根据指导性施工组织设计确定的时间，实际供货时间可能有一定调整，实际供货时间以买方发货订单的时间为准。</w:t>
      </w:r>
    </w:p>
    <w:p w14:paraId="5EDF0DAA" w14:textId="77777777" w:rsidR="004C6F54" w:rsidRPr="00AD4868" w:rsidRDefault="004C6F54"/>
    <w:sectPr w:rsidR="004C6F54" w:rsidRPr="00AD4868" w:rsidSect="00AD48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868"/>
    <w:rsid w:val="00070C44"/>
    <w:rsid w:val="00097CB3"/>
    <w:rsid w:val="00103CEE"/>
    <w:rsid w:val="00114F91"/>
    <w:rsid w:val="0014134D"/>
    <w:rsid w:val="001871E8"/>
    <w:rsid w:val="001907F1"/>
    <w:rsid w:val="001B0DB9"/>
    <w:rsid w:val="001C0A5E"/>
    <w:rsid w:val="001F5877"/>
    <w:rsid w:val="00243D37"/>
    <w:rsid w:val="00245B92"/>
    <w:rsid w:val="00252B86"/>
    <w:rsid w:val="002E4DFE"/>
    <w:rsid w:val="002F5B4E"/>
    <w:rsid w:val="00304ECF"/>
    <w:rsid w:val="00316C8A"/>
    <w:rsid w:val="00394467"/>
    <w:rsid w:val="003C5820"/>
    <w:rsid w:val="004327C3"/>
    <w:rsid w:val="00442058"/>
    <w:rsid w:val="00453E55"/>
    <w:rsid w:val="00474649"/>
    <w:rsid w:val="00494F7F"/>
    <w:rsid w:val="004C2C25"/>
    <w:rsid w:val="004C6F54"/>
    <w:rsid w:val="005B407E"/>
    <w:rsid w:val="00614460"/>
    <w:rsid w:val="00665359"/>
    <w:rsid w:val="006763B2"/>
    <w:rsid w:val="006777E4"/>
    <w:rsid w:val="00691E7B"/>
    <w:rsid w:val="006B3F2F"/>
    <w:rsid w:val="006C202D"/>
    <w:rsid w:val="006D5892"/>
    <w:rsid w:val="00775D71"/>
    <w:rsid w:val="007809F5"/>
    <w:rsid w:val="00782986"/>
    <w:rsid w:val="007B476B"/>
    <w:rsid w:val="007F10AB"/>
    <w:rsid w:val="007F58DA"/>
    <w:rsid w:val="008D0C18"/>
    <w:rsid w:val="008D5F69"/>
    <w:rsid w:val="008D73AE"/>
    <w:rsid w:val="009163E1"/>
    <w:rsid w:val="00945601"/>
    <w:rsid w:val="00962190"/>
    <w:rsid w:val="009B4BC9"/>
    <w:rsid w:val="009B6CD9"/>
    <w:rsid w:val="00AD09D2"/>
    <w:rsid w:val="00AD4868"/>
    <w:rsid w:val="00B12C61"/>
    <w:rsid w:val="00B43840"/>
    <w:rsid w:val="00B96F04"/>
    <w:rsid w:val="00BA6E52"/>
    <w:rsid w:val="00BC7009"/>
    <w:rsid w:val="00CD6831"/>
    <w:rsid w:val="00D3343E"/>
    <w:rsid w:val="00D63907"/>
    <w:rsid w:val="00D85E77"/>
    <w:rsid w:val="00DC6C9B"/>
    <w:rsid w:val="00DE498E"/>
    <w:rsid w:val="00E172D5"/>
    <w:rsid w:val="00E33456"/>
    <w:rsid w:val="00F22F3E"/>
    <w:rsid w:val="00F3074E"/>
    <w:rsid w:val="00F3489B"/>
    <w:rsid w:val="00F443D1"/>
    <w:rsid w:val="00FA5CD0"/>
    <w:rsid w:val="00FB48B4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5981"/>
  <w15:chartTrackingRefBased/>
  <w15:docId w15:val="{6EB09410-3680-41CA-8EC3-89D2F427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8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D4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AD486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AD48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宁宁 唐</dc:creator>
  <cp:keywords/>
  <dc:description/>
  <cp:lastModifiedBy>宁宁 唐</cp:lastModifiedBy>
  <cp:revision>1</cp:revision>
  <dcterms:created xsi:type="dcterms:W3CDTF">2021-09-15T07:59:00Z</dcterms:created>
  <dcterms:modified xsi:type="dcterms:W3CDTF">2021-09-15T08:00:00Z</dcterms:modified>
</cp:coreProperties>
</file>