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440" w:lineRule="exact"/>
        <w:jc w:val="center"/>
        <w:rPr>
          <w:rFonts w:cs="宋体" w:asciiTheme="minorEastAsia" w:hAnsiTheme="minorEastAsia" w:eastAsiaTheme="minorEastAsia"/>
          <w:b/>
          <w:sz w:val="36"/>
          <w:szCs w:val="36"/>
          <w:highlight w:val="none"/>
        </w:rPr>
      </w:pPr>
      <w:r>
        <w:rPr>
          <w:rFonts w:hint="eastAsia" w:cs="宋体" w:asciiTheme="minorEastAsia" w:hAnsiTheme="minorEastAsia" w:eastAsiaTheme="minorEastAsia"/>
          <w:b/>
          <w:sz w:val="36"/>
          <w:szCs w:val="36"/>
          <w:highlight w:val="none"/>
        </w:rPr>
        <w:t>中铁六局呼和浩特铁建公司</w:t>
      </w:r>
      <w:r>
        <w:rPr>
          <w:rFonts w:hint="eastAsia" w:cs="宋体" w:asciiTheme="minorEastAsia" w:hAnsiTheme="minorEastAsia" w:eastAsiaTheme="minorEastAsia"/>
          <w:b/>
          <w:sz w:val="36"/>
          <w:szCs w:val="36"/>
          <w:highlight w:val="none"/>
          <w:lang w:val="en-US" w:eastAsia="zh-CN"/>
        </w:rPr>
        <w:t>集通铁路</w:t>
      </w:r>
      <w:r>
        <w:rPr>
          <w:rFonts w:hint="eastAsia" w:cs="宋体" w:asciiTheme="minorEastAsia" w:hAnsiTheme="minorEastAsia" w:eastAsiaTheme="minorEastAsia"/>
          <w:b/>
          <w:sz w:val="36"/>
          <w:szCs w:val="36"/>
          <w:highlight w:val="none"/>
        </w:rPr>
        <w:t>工程</w:t>
      </w:r>
    </w:p>
    <w:p>
      <w:pPr>
        <w:spacing w:line="440" w:lineRule="exact"/>
        <w:jc w:val="center"/>
        <w:rPr>
          <w:rFonts w:hint="default" w:cs="宋体" w:asciiTheme="minorEastAsia" w:hAnsiTheme="minorEastAsia" w:eastAsiaTheme="minorEastAsia"/>
          <w:b/>
          <w:sz w:val="36"/>
          <w:szCs w:val="36"/>
          <w:highlight w:val="none"/>
          <w:lang w:val="en-US" w:eastAsia="zh-CN"/>
        </w:rPr>
      </w:pPr>
      <w:r>
        <w:rPr>
          <w:rFonts w:hint="eastAsia" w:cs="宋体" w:asciiTheme="minorEastAsia" w:hAnsiTheme="minorEastAsia" w:eastAsiaTheme="minorEastAsia"/>
          <w:b/>
          <w:sz w:val="36"/>
          <w:szCs w:val="36"/>
          <w:highlight w:val="none"/>
          <w:lang w:eastAsia="zh-CN"/>
        </w:rPr>
        <w:t>水泥</w:t>
      </w:r>
      <w:r>
        <w:rPr>
          <w:rFonts w:hint="eastAsia" w:cs="宋体" w:asciiTheme="minorEastAsia" w:hAnsiTheme="minorEastAsia" w:eastAsiaTheme="minorEastAsia"/>
          <w:b/>
          <w:sz w:val="36"/>
          <w:szCs w:val="36"/>
          <w:highlight w:val="none"/>
        </w:rPr>
        <w:t>采购招标</w:t>
      </w:r>
      <w:r>
        <w:rPr>
          <w:rFonts w:hint="eastAsia" w:cs="宋体" w:asciiTheme="minorEastAsia" w:hAnsiTheme="minorEastAsia" w:eastAsiaTheme="minorEastAsia"/>
          <w:b/>
          <w:sz w:val="36"/>
          <w:szCs w:val="36"/>
          <w:highlight w:val="none"/>
          <w:lang w:val="en-US" w:eastAsia="zh-CN"/>
        </w:rPr>
        <w:t>四次公告</w:t>
      </w:r>
    </w:p>
    <w:p>
      <w:pPr>
        <w:spacing w:line="440" w:lineRule="exact"/>
        <w:jc w:val="center"/>
        <w:rPr>
          <w:rFonts w:hint="eastAsia" w:asciiTheme="minorEastAsia" w:hAnsiTheme="minorEastAsia" w:eastAsiaTheme="minorEastAsia"/>
          <w:szCs w:val="21"/>
          <w:highlight w:val="none"/>
          <w:lang w:val="en-US" w:eastAsia="zh-CN"/>
        </w:rPr>
      </w:pPr>
      <w:r>
        <w:rPr>
          <w:rFonts w:hint="eastAsia" w:asciiTheme="minorEastAsia" w:hAnsiTheme="minorEastAsia" w:eastAsiaTheme="minorEastAsia"/>
          <w:szCs w:val="21"/>
          <w:highlight w:val="none"/>
        </w:rPr>
        <w:t>（招标编号：</w:t>
      </w:r>
      <w:r>
        <w:rPr>
          <w:rFonts w:hint="eastAsia" w:asciiTheme="minorEastAsia" w:hAnsiTheme="minorEastAsia" w:eastAsiaTheme="minorEastAsia"/>
          <w:szCs w:val="21"/>
          <w:highlight w:val="none"/>
          <w:u w:val="single"/>
          <w:lang w:eastAsia="zh-CN"/>
        </w:rPr>
        <w:t>HHJTTLWZ-DL-2021-1232-03</w:t>
      </w:r>
      <w:r>
        <w:rPr>
          <w:rFonts w:hint="eastAsia" w:asciiTheme="minorEastAsia" w:hAnsiTheme="minorEastAsia" w:eastAsiaTheme="minorEastAsia"/>
          <w:szCs w:val="21"/>
          <w:highlight w:val="none"/>
        </w:rPr>
        <w:t>）</w:t>
      </w:r>
    </w:p>
    <w:p>
      <w:pPr>
        <w:spacing w:line="440" w:lineRule="exact"/>
        <w:jc w:val="center"/>
        <w:rPr>
          <w:rFonts w:cs="宋体" w:asciiTheme="minorEastAsia" w:hAnsiTheme="minorEastAsia" w:eastAsiaTheme="minorEastAsia"/>
          <w:szCs w:val="21"/>
          <w:highlight w:val="none"/>
          <w:u w:val="single"/>
        </w:rPr>
      </w:pPr>
    </w:p>
    <w:p>
      <w:pPr>
        <w:pStyle w:val="4"/>
        <w:spacing w:before="0" w:line="440" w:lineRule="exact"/>
        <w:rPr>
          <w:rFonts w:asciiTheme="minorEastAsia" w:hAnsiTheme="minorEastAsia" w:eastAsiaTheme="minorEastAsia"/>
          <w:sz w:val="21"/>
          <w:szCs w:val="21"/>
          <w:highlight w:val="none"/>
        </w:rPr>
      </w:pPr>
      <w:bookmarkStart w:id="0" w:name="_Toc30057825"/>
      <w:r>
        <w:rPr>
          <w:rFonts w:hint="eastAsia" w:asciiTheme="minorEastAsia" w:hAnsiTheme="minorEastAsia" w:eastAsiaTheme="minorEastAsia"/>
          <w:sz w:val="21"/>
          <w:szCs w:val="21"/>
          <w:highlight w:val="none"/>
        </w:rPr>
        <w:t>1．招标条件</w:t>
      </w:r>
      <w:bookmarkEnd w:id="0"/>
    </w:p>
    <w:p>
      <w:pPr>
        <w:pageBreakBefore w:val="0"/>
        <w:widowControl w:val="0"/>
        <w:kinsoku/>
        <w:wordWrap/>
        <w:overflowPunct/>
        <w:topLinePunct w:val="0"/>
        <w:autoSpaceDE/>
        <w:autoSpaceDN/>
        <w:bidi w:val="0"/>
        <w:adjustRightInd/>
        <w:snapToGrid/>
        <w:spacing w:line="500" w:lineRule="exact"/>
        <w:ind w:left="0" w:leftChars="0" w:firstLine="420" w:firstLineChars="200"/>
        <w:textAlignment w:val="auto"/>
        <w:rPr>
          <w:rFonts w:hint="eastAsia" w:hAnsi="宋体"/>
          <w:sz w:val="21"/>
          <w:szCs w:val="21"/>
          <w:highlight w:val="none"/>
        </w:rPr>
      </w:pPr>
      <w:bookmarkStart w:id="1" w:name="_Toc30057826"/>
      <w:r>
        <w:rPr>
          <w:rFonts w:hint="eastAsia" w:hAnsi="宋体"/>
          <w:sz w:val="21"/>
          <w:szCs w:val="21"/>
          <w:highlight w:val="none"/>
        </w:rPr>
        <w:t>中铁六局集团呼和浩特铁路建设有限公司承建的集宁至通辽铁路电气化改造工程获国家发改委批准建设，目前工程处于施工准备阶段，项目建设单位为内蒙古集通铁路建设有限公司，施工监理单位：中铁济南工程建设监理有限公司，项目模式为投融资+EPC+运维；</w:t>
      </w:r>
      <w:r>
        <w:rPr>
          <w:rFonts w:hint="eastAsia" w:hAnsi="宋体"/>
          <w:sz w:val="21"/>
          <w:szCs w:val="21"/>
          <w:highlight w:val="none"/>
          <w:lang w:eastAsia="zh-CN"/>
        </w:rPr>
        <w:t>采购人</w:t>
      </w:r>
      <w:r>
        <w:rPr>
          <w:rFonts w:hint="eastAsia" w:hAnsi="宋体"/>
          <w:sz w:val="21"/>
          <w:szCs w:val="21"/>
          <w:highlight w:val="none"/>
        </w:rPr>
        <w:t>为中铁六局集团呼和浩特铁路建设有限公司，本项目由</w:t>
      </w:r>
      <w:r>
        <w:rPr>
          <w:rFonts w:hint="eastAsia" w:hAnsi="宋体"/>
          <w:sz w:val="21"/>
          <w:szCs w:val="21"/>
          <w:highlight w:val="none"/>
          <w:lang w:val="en-US" w:eastAsia="zh-CN"/>
        </w:rPr>
        <w:t>采购人</w:t>
      </w:r>
      <w:r>
        <w:rPr>
          <w:rFonts w:hint="eastAsia" w:hAnsi="宋体"/>
          <w:sz w:val="21"/>
          <w:szCs w:val="21"/>
          <w:highlight w:val="none"/>
        </w:rPr>
        <w:t>与</w:t>
      </w:r>
      <w:r>
        <w:rPr>
          <w:rFonts w:hint="eastAsia" w:hAnsi="宋体"/>
          <w:sz w:val="21"/>
          <w:szCs w:val="21"/>
          <w:highlight w:val="none"/>
          <w:lang w:val="en-US" w:eastAsia="zh-CN"/>
        </w:rPr>
        <w:t>成交供应商</w:t>
      </w:r>
      <w:r>
        <w:rPr>
          <w:rFonts w:hint="eastAsia" w:hAnsi="宋体"/>
          <w:sz w:val="21"/>
          <w:szCs w:val="21"/>
          <w:highlight w:val="none"/>
        </w:rPr>
        <w:t>签订合同，本项目已具备物资采购条件</w:t>
      </w:r>
      <w:r>
        <w:rPr>
          <w:rFonts w:hint="eastAsia" w:hAnsi="宋体"/>
          <w:sz w:val="21"/>
          <w:szCs w:val="21"/>
          <w:highlight w:val="none"/>
          <w:lang w:eastAsia="zh-CN"/>
        </w:rPr>
        <w:t>，</w:t>
      </w:r>
      <w:r>
        <w:rPr>
          <w:rFonts w:hint="eastAsia" w:hAnsi="宋体"/>
          <w:sz w:val="21"/>
          <w:szCs w:val="21"/>
          <w:highlight w:val="none"/>
        </w:rPr>
        <w:t>现进行公开</w:t>
      </w:r>
      <w:r>
        <w:rPr>
          <w:rFonts w:hint="eastAsia" w:hAnsi="宋体"/>
          <w:sz w:val="21"/>
          <w:szCs w:val="21"/>
          <w:highlight w:val="none"/>
          <w:lang w:val="en-US" w:eastAsia="zh-CN"/>
        </w:rPr>
        <w:t>招标</w:t>
      </w:r>
      <w:r>
        <w:rPr>
          <w:rFonts w:hint="eastAsia" w:hAnsi="宋体"/>
          <w:sz w:val="21"/>
          <w:szCs w:val="21"/>
          <w:highlight w:val="none"/>
        </w:rPr>
        <w:t>。 </w:t>
      </w:r>
    </w:p>
    <w:p>
      <w:pPr>
        <w:pStyle w:val="4"/>
        <w:spacing w:before="0" w:line="440" w:lineRule="exact"/>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2．项目概况与招标内容</w:t>
      </w:r>
      <w:bookmarkEnd w:id="1"/>
    </w:p>
    <w:p>
      <w:pPr>
        <w:spacing w:line="440" w:lineRule="exact"/>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2.1项目概况：</w:t>
      </w:r>
    </w:p>
    <w:p>
      <w:pPr>
        <w:pageBreakBefore w:val="0"/>
        <w:widowControl w:val="0"/>
        <w:kinsoku/>
        <w:wordWrap/>
        <w:overflowPunct/>
        <w:topLinePunct w:val="0"/>
        <w:autoSpaceDE/>
        <w:autoSpaceDN/>
        <w:bidi w:val="0"/>
        <w:adjustRightInd/>
        <w:snapToGrid/>
        <w:spacing w:line="500" w:lineRule="exact"/>
        <w:ind w:firstLine="420" w:firstLineChars="200"/>
        <w:textAlignment w:val="auto"/>
        <w:rPr>
          <w:rFonts w:hint="eastAsia" w:hAnsi="宋体" w:cs="宋体"/>
          <w:bCs/>
          <w:sz w:val="21"/>
          <w:szCs w:val="21"/>
          <w:highlight w:val="none"/>
          <w:lang w:val="zh-CN" w:eastAsia="zh-CN"/>
        </w:rPr>
      </w:pPr>
      <w:r>
        <w:rPr>
          <w:rFonts w:hint="eastAsia" w:hAnsi="宋体" w:cs="宋体"/>
          <w:bCs/>
          <w:sz w:val="21"/>
          <w:szCs w:val="21"/>
          <w:highlight w:val="none"/>
          <w:lang w:val="zh-CN"/>
        </w:rPr>
        <w:t>中铁六局呼和浩特铁建公司承建集通铁路DK500+200-DK599.983段站前线工程，站前线下工程双线绕行里程长度47.1km，双线绕行实际施工长度33.92km，既有线并行里程长度52.683km，既有线并行实际施工长度52.689km。本段线路位于内蒙古赤峰市克什克腾旗、林西县境内，线路起于后克木台沟中桥通辽台尾DK500+200，终于大板进站界DK599+983，站前线下施工长度86.607km。包含特大桥4座/4.687km，大桥7座/1.92km，中小桥9座/0.545km，框构桥13座，公跨铁5座/392.5延米，涵洞178座/2647延米，隧道2座/3.7km，路基76.01km，车站3座：宇宙地站、林西南站、平顶庙站。项目工期：2020年6月30日至2024年6月30日，工程造价：12亿元。</w:t>
      </w:r>
    </w:p>
    <w:p>
      <w:pPr>
        <w:pStyle w:val="9"/>
        <w:ind w:firstLine="420" w:firstLineChars="200"/>
        <w:rPr>
          <w:rFonts w:hint="eastAsia" w:ascii="宋体" w:hAnsi="宋体" w:eastAsia="宋体" w:cs="宋体"/>
          <w:bCs/>
          <w:kern w:val="2"/>
          <w:sz w:val="21"/>
          <w:szCs w:val="21"/>
          <w:highlight w:val="none"/>
          <w:lang w:val="zh-CN" w:eastAsia="zh-CN" w:bidi="ar-SA"/>
        </w:rPr>
      </w:pPr>
      <w:r>
        <w:rPr>
          <w:rFonts w:hint="eastAsia" w:ascii="宋体" w:hAnsi="宋体" w:eastAsia="宋体" w:cs="宋体"/>
          <w:bCs/>
          <w:kern w:val="2"/>
          <w:sz w:val="21"/>
          <w:szCs w:val="21"/>
          <w:highlight w:val="none"/>
          <w:lang w:val="zh-CN" w:eastAsia="zh-CN" w:bidi="ar-SA"/>
        </w:rPr>
        <w:t xml:space="preserve"> 2.2招标内容：</w:t>
      </w:r>
      <w:r>
        <w:rPr>
          <w:rFonts w:hint="eastAsia" w:ascii="宋体" w:hAnsi="宋体" w:eastAsia="宋体" w:cs="宋体"/>
          <w:bCs/>
          <w:kern w:val="2"/>
          <w:sz w:val="21"/>
          <w:szCs w:val="21"/>
          <w:highlight w:val="none"/>
          <w:lang w:val="en-US" w:eastAsia="zh-CN" w:bidi="ar-SA"/>
        </w:rPr>
        <w:t>水泥</w:t>
      </w:r>
      <w:r>
        <w:rPr>
          <w:rFonts w:hint="eastAsia" w:ascii="宋体" w:hAnsi="宋体" w:eastAsia="宋体" w:cs="宋体"/>
          <w:bCs/>
          <w:kern w:val="2"/>
          <w:sz w:val="21"/>
          <w:szCs w:val="21"/>
          <w:highlight w:val="none"/>
          <w:lang w:val="zh-CN" w:eastAsia="zh-CN" w:bidi="ar-SA"/>
        </w:rPr>
        <w:t>详见招标公告附表。</w:t>
      </w:r>
    </w:p>
    <w:p>
      <w:pPr>
        <w:pStyle w:val="4"/>
        <w:spacing w:before="0" w:line="440" w:lineRule="exact"/>
        <w:rPr>
          <w:rFonts w:asciiTheme="minorEastAsia" w:hAnsiTheme="minorEastAsia" w:eastAsiaTheme="minorEastAsia"/>
          <w:sz w:val="21"/>
          <w:szCs w:val="21"/>
          <w:highlight w:val="none"/>
        </w:rPr>
      </w:pPr>
      <w:bookmarkStart w:id="2" w:name="_Toc30057827"/>
      <w:r>
        <w:rPr>
          <w:rFonts w:hint="eastAsia" w:asciiTheme="minorEastAsia" w:hAnsiTheme="minorEastAsia" w:eastAsiaTheme="minorEastAsia"/>
          <w:sz w:val="21"/>
          <w:szCs w:val="21"/>
          <w:highlight w:val="none"/>
        </w:rPr>
        <w:t>3．投标人资格要求</w:t>
      </w:r>
      <w:bookmarkEnd w:id="2"/>
    </w:p>
    <w:p>
      <w:pPr>
        <w:pStyle w:val="39"/>
        <w:spacing w:line="440" w:lineRule="exact"/>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3.1本次招标要求投标人须具备条件：</w:t>
      </w:r>
      <w:r>
        <w:rPr>
          <w:rFonts w:hint="eastAsia" w:cs="宋体" w:asciiTheme="minorEastAsia" w:hAnsiTheme="minorEastAsia" w:eastAsiaTheme="minorEastAsia"/>
          <w:sz w:val="21"/>
          <w:szCs w:val="21"/>
          <w:highlight w:val="none"/>
        </w:rPr>
        <w:t>详见招标公告附表1</w:t>
      </w:r>
      <w:r>
        <w:rPr>
          <w:rFonts w:hint="eastAsia" w:asciiTheme="minorEastAsia" w:hAnsiTheme="minorEastAsia" w:eastAsiaTheme="minorEastAsia"/>
          <w:sz w:val="21"/>
          <w:szCs w:val="21"/>
          <w:highlight w:val="none"/>
        </w:rPr>
        <w:t>。</w:t>
      </w:r>
    </w:p>
    <w:p>
      <w:pPr>
        <w:pStyle w:val="39"/>
        <w:spacing w:line="440" w:lineRule="exact"/>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3.2本次招标不接受联合体投标。</w:t>
      </w:r>
    </w:p>
    <w:p>
      <w:pPr>
        <w:pStyle w:val="4"/>
        <w:spacing w:before="0" w:line="440" w:lineRule="exact"/>
        <w:rPr>
          <w:rFonts w:asciiTheme="minorEastAsia" w:hAnsiTheme="minorEastAsia" w:eastAsiaTheme="minorEastAsia"/>
          <w:sz w:val="21"/>
          <w:szCs w:val="21"/>
          <w:highlight w:val="none"/>
        </w:rPr>
      </w:pPr>
      <w:bookmarkStart w:id="3" w:name="_Toc30057828"/>
      <w:r>
        <w:rPr>
          <w:rFonts w:hint="eastAsia" w:asciiTheme="minorEastAsia" w:hAnsiTheme="minorEastAsia" w:eastAsiaTheme="minorEastAsia"/>
          <w:sz w:val="21"/>
          <w:szCs w:val="21"/>
          <w:highlight w:val="none"/>
        </w:rPr>
        <w:t>4．招标文件的获取</w:t>
      </w:r>
      <w:bookmarkEnd w:id="3"/>
    </w:p>
    <w:p>
      <w:pPr>
        <w:spacing w:line="460" w:lineRule="exact"/>
        <w:ind w:firstLine="413" w:firstLineChars="197"/>
        <w:rPr>
          <w:rFonts w:hint="eastAsia" w:cs="宋体" w:asciiTheme="minorEastAsia" w:hAnsiTheme="minorEastAsia" w:eastAsiaTheme="minorEastAsia"/>
          <w:bCs/>
          <w:sz w:val="21"/>
          <w:szCs w:val="21"/>
          <w:highlight w:val="none"/>
          <w:lang w:val="zh-CN"/>
        </w:rPr>
      </w:pPr>
      <w:r>
        <w:rPr>
          <w:rFonts w:hint="eastAsia" w:cs="宋体" w:asciiTheme="minorEastAsia" w:hAnsiTheme="minorEastAsia" w:eastAsiaTheme="minorEastAsia"/>
          <w:bCs/>
          <w:sz w:val="21"/>
          <w:szCs w:val="21"/>
          <w:highlight w:val="none"/>
          <w:lang w:val="zh-CN"/>
        </w:rPr>
        <w:t>潜在响应人购买招标文件务必先在中国中铁采购电子商务平台（www.crecgec.com）进行供应商注册，成为正式会员（须签订合同）</w:t>
      </w:r>
      <w:r>
        <w:rPr>
          <w:rFonts w:hint="eastAsia" w:cs="宋体" w:asciiTheme="minorEastAsia" w:hAnsiTheme="minorEastAsia" w:eastAsiaTheme="minorEastAsia"/>
          <w:bCs/>
          <w:sz w:val="21"/>
          <w:szCs w:val="21"/>
          <w:highlight w:val="none"/>
          <w:lang w:val="zh-CN" w:eastAsia="zh-CN"/>
        </w:rPr>
        <w:t>，</w:t>
      </w:r>
      <w:r>
        <w:rPr>
          <w:rFonts w:hint="eastAsia" w:cs="宋体" w:asciiTheme="minorEastAsia" w:hAnsiTheme="minorEastAsia" w:eastAsiaTheme="minorEastAsia"/>
          <w:bCs/>
          <w:sz w:val="21"/>
          <w:szCs w:val="21"/>
          <w:highlight w:val="none"/>
          <w:lang w:val="zh-CN"/>
        </w:rPr>
        <w:t>因合同双方签订有一定时间，建议提前操作。（客服热线400-6010-100），然后再购买招标文件参与投标。 响应人需在中国中铁采购电子商务平台对本次招标相应包件进行响应，并将购买招标文件的款项电汇至采购人指定帐户。</w:t>
      </w:r>
      <w:r>
        <w:rPr>
          <w:rFonts w:hint="eastAsia" w:cs="宋体" w:asciiTheme="minorEastAsia" w:hAnsiTheme="minorEastAsia" w:eastAsiaTheme="minorEastAsia"/>
          <w:b/>
          <w:bCs w:val="0"/>
          <w:sz w:val="21"/>
          <w:szCs w:val="21"/>
          <w:highlight w:val="none"/>
          <w:lang w:val="en-US" w:eastAsia="zh-CN"/>
        </w:rPr>
        <w:t>投标流程</w:t>
      </w:r>
      <w:r>
        <w:rPr>
          <w:rFonts w:hint="eastAsia" w:cs="宋体" w:asciiTheme="minorEastAsia" w:hAnsiTheme="minorEastAsia" w:eastAsiaTheme="minorEastAsia"/>
          <w:bCs/>
          <w:sz w:val="21"/>
          <w:szCs w:val="21"/>
          <w:highlight w:val="none"/>
          <w:lang w:val="zh-CN"/>
        </w:rPr>
        <w:t>：经注册、审核后，潜在投标人须登录中国中铁采购电子商务平台（www.crecgec.com）--“供方交易系统（二 期）登录”---在“我的交易”中点击“最新商机（公告）”---在对应项目点击展开包件，选中包件点击“响应”按钮---填写“联系人、联系方式”，点击“确定”即可响应成功，具体操作流程指导见</w:t>
      </w:r>
      <w:r>
        <w:rPr>
          <w:rFonts w:hint="eastAsia" w:cs="宋体" w:asciiTheme="minorEastAsia" w:hAnsiTheme="minorEastAsia" w:eastAsiaTheme="minorEastAsia"/>
          <w:bCs/>
          <w:sz w:val="21"/>
          <w:szCs w:val="21"/>
          <w:highlight w:val="none"/>
          <w:lang w:val="en-US" w:eastAsia="zh-CN"/>
        </w:rPr>
        <w:t>鲁班</w:t>
      </w:r>
      <w:r>
        <w:rPr>
          <w:rFonts w:hint="eastAsia" w:cs="宋体" w:asciiTheme="minorEastAsia" w:hAnsiTheme="minorEastAsia" w:eastAsiaTheme="minorEastAsia"/>
          <w:bCs/>
          <w:sz w:val="21"/>
          <w:szCs w:val="21"/>
          <w:highlight w:val="none"/>
          <w:lang w:val="zh-CN"/>
        </w:rPr>
        <w:t>网</w:t>
      </w:r>
      <w:r>
        <w:rPr>
          <w:rFonts w:hint="eastAsia" w:cs="宋体" w:asciiTheme="minorEastAsia" w:hAnsiTheme="minorEastAsia" w:eastAsiaTheme="minorEastAsia"/>
          <w:bCs/>
          <w:sz w:val="21"/>
          <w:szCs w:val="21"/>
          <w:highlight w:val="none"/>
          <w:lang w:val="en-US" w:eastAsia="zh-CN"/>
        </w:rPr>
        <w:t>--供应商园地中</w:t>
      </w:r>
      <w:r>
        <w:rPr>
          <w:rFonts w:hint="eastAsia" w:cs="宋体" w:asciiTheme="minorEastAsia" w:hAnsiTheme="minorEastAsia" w:eastAsiaTheme="minorEastAsia"/>
          <w:bCs/>
          <w:sz w:val="21"/>
          <w:szCs w:val="21"/>
          <w:highlight w:val="none"/>
          <w:lang w:val="zh-CN"/>
        </w:rPr>
        <w:t>《中国中铁电子商务系统二期供应商投标操作手册》），注：此处设置的密码非常重要，开标后使用该密码为投标报价解锁，建议设置为自动解锁。</w:t>
      </w:r>
    </w:p>
    <w:p>
      <w:pPr>
        <w:pStyle w:val="53"/>
        <w:tabs>
          <w:tab w:val="left" w:pos="851"/>
        </w:tabs>
        <w:adjustRightInd w:val="0"/>
        <w:snapToGrid w:val="0"/>
        <w:spacing w:line="460" w:lineRule="exact"/>
        <w:ind w:left="0" w:leftChars="0" w:firstLine="420" w:firstLineChars="200"/>
        <w:rPr>
          <w:rFonts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1.</w:t>
      </w:r>
      <w:r>
        <w:rPr>
          <w:rFonts w:hint="eastAsia" w:cs="宋体" w:asciiTheme="minorEastAsia" w:hAnsiTheme="minorEastAsia" w:eastAsiaTheme="minorEastAsia"/>
          <w:sz w:val="21"/>
          <w:szCs w:val="21"/>
          <w:highlight w:val="none"/>
          <w:lang w:eastAsia="zh-CN"/>
        </w:rPr>
        <w:t>招标文件</w:t>
      </w:r>
      <w:r>
        <w:rPr>
          <w:rFonts w:hint="eastAsia" w:cs="宋体" w:asciiTheme="minorEastAsia" w:hAnsiTheme="minorEastAsia" w:eastAsiaTheme="minorEastAsia"/>
          <w:sz w:val="21"/>
          <w:szCs w:val="21"/>
          <w:highlight w:val="none"/>
        </w:rPr>
        <w:t>每套售价：详见公告附表1，售后不退。</w:t>
      </w:r>
      <w:r>
        <w:rPr>
          <w:rFonts w:hint="eastAsia" w:cs="宋体" w:asciiTheme="minorEastAsia" w:hAnsiTheme="minorEastAsia" w:eastAsiaTheme="minorEastAsia"/>
          <w:sz w:val="21"/>
          <w:szCs w:val="21"/>
          <w:highlight w:val="none"/>
          <w:lang w:eastAsia="zh-CN"/>
        </w:rPr>
        <w:t>招标文件</w:t>
      </w:r>
      <w:r>
        <w:rPr>
          <w:rFonts w:hint="eastAsia" w:cs="宋体" w:asciiTheme="minorEastAsia" w:hAnsiTheme="minorEastAsia" w:eastAsiaTheme="minorEastAsia"/>
          <w:sz w:val="21"/>
          <w:szCs w:val="21"/>
          <w:highlight w:val="none"/>
        </w:rPr>
        <w:t>以在中国中铁采购电子商务平台发售电子版为主，不再以纸质版出售</w:t>
      </w:r>
      <w:r>
        <w:rPr>
          <w:sz w:val="21"/>
          <w:szCs w:val="21"/>
          <w:highlight w:val="none"/>
        </w:rPr>
        <w:fldChar w:fldCharType="begin"/>
      </w:r>
      <w:r>
        <w:rPr>
          <w:sz w:val="21"/>
          <w:szCs w:val="21"/>
          <w:highlight w:val="none"/>
        </w:rPr>
        <w:instrText xml:space="preserve"> HYPERLINK "http://zhaobiao.crecgec.com/" </w:instrText>
      </w:r>
      <w:r>
        <w:rPr>
          <w:sz w:val="21"/>
          <w:szCs w:val="21"/>
          <w:highlight w:val="none"/>
        </w:rPr>
        <w:fldChar w:fldCharType="separate"/>
      </w:r>
      <w:r>
        <w:rPr>
          <w:rFonts w:hint="eastAsia" w:cs="宋体" w:asciiTheme="minorEastAsia" w:hAnsiTheme="minorEastAsia" w:eastAsiaTheme="minorEastAsia"/>
          <w:sz w:val="21"/>
          <w:szCs w:val="21"/>
          <w:highlight w:val="none"/>
        </w:rPr>
        <w:t>。</w:t>
      </w:r>
      <w:r>
        <w:rPr>
          <w:rFonts w:hint="eastAsia" w:cs="宋体" w:asciiTheme="minorEastAsia" w:hAnsiTheme="minorEastAsia" w:eastAsiaTheme="minorEastAsia"/>
          <w:sz w:val="21"/>
          <w:szCs w:val="21"/>
          <w:highlight w:val="none"/>
        </w:rPr>
        <w:fldChar w:fldCharType="end"/>
      </w:r>
    </w:p>
    <w:p>
      <w:pPr>
        <w:spacing w:line="440" w:lineRule="exact"/>
        <w:ind w:firstLine="424" w:firstLineChars="202"/>
        <w:jc w:val="left"/>
        <w:rPr>
          <w:rFonts w:hint="eastAsia" w:cs="宋体" w:asciiTheme="minorEastAsia" w:hAnsiTheme="minorEastAsia" w:eastAsiaTheme="minorEastAsia"/>
          <w:sz w:val="21"/>
          <w:szCs w:val="21"/>
          <w:highlight w:val="none"/>
        </w:rPr>
      </w:pPr>
      <w:r>
        <w:rPr>
          <w:rFonts w:hint="eastAsia" w:cs="宋体" w:asciiTheme="minorEastAsia" w:hAnsiTheme="minorEastAsia" w:eastAsiaTheme="minorEastAsia"/>
          <w:sz w:val="21"/>
          <w:szCs w:val="21"/>
          <w:highlight w:val="none"/>
        </w:rPr>
        <w:t>2.</w:t>
      </w:r>
      <w:r>
        <w:rPr>
          <w:rFonts w:cs="宋体" w:asciiTheme="minorEastAsia" w:hAnsiTheme="minorEastAsia" w:eastAsiaTheme="minorEastAsia"/>
          <w:sz w:val="21"/>
          <w:szCs w:val="21"/>
          <w:highlight w:val="none"/>
        </w:rPr>
        <w:t>购买</w:t>
      </w:r>
      <w:r>
        <w:rPr>
          <w:rFonts w:hint="eastAsia" w:cs="宋体" w:asciiTheme="minorEastAsia" w:hAnsiTheme="minorEastAsia" w:eastAsiaTheme="minorEastAsia"/>
          <w:sz w:val="21"/>
          <w:szCs w:val="21"/>
          <w:highlight w:val="none"/>
          <w:lang w:eastAsia="zh-CN"/>
        </w:rPr>
        <w:t>招标文件</w:t>
      </w:r>
      <w:r>
        <w:rPr>
          <w:rFonts w:cs="宋体" w:asciiTheme="minorEastAsia" w:hAnsiTheme="minorEastAsia" w:eastAsiaTheme="minorEastAsia"/>
          <w:sz w:val="21"/>
          <w:szCs w:val="21"/>
          <w:highlight w:val="none"/>
        </w:rPr>
        <w:t>的潜在</w:t>
      </w:r>
      <w:r>
        <w:rPr>
          <w:rFonts w:hint="eastAsia" w:cs="宋体" w:asciiTheme="minorEastAsia" w:hAnsiTheme="minorEastAsia" w:eastAsiaTheme="minorEastAsia"/>
          <w:sz w:val="21"/>
          <w:szCs w:val="21"/>
          <w:highlight w:val="none"/>
          <w:lang w:val="en-US" w:eastAsia="zh-CN"/>
        </w:rPr>
        <w:t>投标</w:t>
      </w:r>
      <w:r>
        <w:rPr>
          <w:rFonts w:cs="宋体" w:asciiTheme="minorEastAsia" w:hAnsiTheme="minorEastAsia" w:eastAsiaTheme="minorEastAsia"/>
          <w:sz w:val="21"/>
          <w:szCs w:val="21"/>
          <w:highlight w:val="none"/>
        </w:rPr>
        <w:t>人：请于</w:t>
      </w:r>
      <w:r>
        <w:rPr>
          <w:rFonts w:hint="eastAsia" w:cs="宋体" w:asciiTheme="minorEastAsia" w:hAnsiTheme="minorEastAsia" w:eastAsiaTheme="minorEastAsia"/>
          <w:sz w:val="21"/>
          <w:szCs w:val="21"/>
          <w:highlight w:val="none"/>
        </w:rPr>
        <w:t>20</w:t>
      </w:r>
      <w:r>
        <w:rPr>
          <w:rFonts w:hint="eastAsia" w:cs="宋体" w:asciiTheme="minorEastAsia" w:hAnsiTheme="minorEastAsia" w:eastAsiaTheme="minorEastAsia"/>
          <w:sz w:val="21"/>
          <w:szCs w:val="21"/>
          <w:highlight w:val="none"/>
          <w:lang w:val="en-US" w:eastAsia="zh-CN"/>
        </w:rPr>
        <w:t>21</w:t>
      </w:r>
      <w:r>
        <w:rPr>
          <w:rFonts w:hint="eastAsia" w:cs="宋体" w:asciiTheme="minorEastAsia" w:hAnsiTheme="minorEastAsia" w:eastAsiaTheme="minorEastAsia"/>
          <w:sz w:val="21"/>
          <w:szCs w:val="21"/>
          <w:highlight w:val="none"/>
        </w:rPr>
        <w:t>年</w:t>
      </w:r>
      <w:r>
        <w:rPr>
          <w:rFonts w:hint="eastAsia" w:cs="宋体" w:asciiTheme="minorEastAsia" w:hAnsiTheme="minorEastAsia" w:eastAsiaTheme="minorEastAsia"/>
          <w:sz w:val="21"/>
          <w:szCs w:val="21"/>
          <w:highlight w:val="none"/>
          <w:lang w:val="en-US" w:eastAsia="zh-CN"/>
        </w:rPr>
        <w:t>9</w:t>
      </w:r>
      <w:r>
        <w:rPr>
          <w:rFonts w:hint="eastAsia" w:cs="宋体" w:asciiTheme="minorEastAsia" w:hAnsiTheme="minorEastAsia" w:eastAsiaTheme="minorEastAsia"/>
          <w:sz w:val="21"/>
          <w:szCs w:val="21"/>
          <w:highlight w:val="none"/>
        </w:rPr>
        <w:t>月</w:t>
      </w:r>
      <w:r>
        <w:rPr>
          <w:rFonts w:hint="eastAsia" w:cs="宋体" w:asciiTheme="minorEastAsia" w:hAnsiTheme="minorEastAsia" w:eastAsiaTheme="minorEastAsia"/>
          <w:sz w:val="21"/>
          <w:szCs w:val="21"/>
          <w:highlight w:val="none"/>
          <w:lang w:val="en-US" w:eastAsia="zh-CN"/>
        </w:rPr>
        <w:t>11</w:t>
      </w:r>
      <w:r>
        <w:rPr>
          <w:rFonts w:hint="eastAsia" w:cs="宋体" w:asciiTheme="minorEastAsia" w:hAnsiTheme="minorEastAsia" w:eastAsiaTheme="minorEastAsia"/>
          <w:sz w:val="21"/>
          <w:szCs w:val="21"/>
          <w:highlight w:val="none"/>
        </w:rPr>
        <w:t>日</w:t>
      </w:r>
      <w:r>
        <w:rPr>
          <w:rFonts w:hint="eastAsia" w:cs="宋体" w:asciiTheme="minorEastAsia" w:hAnsiTheme="minorEastAsia" w:eastAsiaTheme="minorEastAsia"/>
          <w:sz w:val="21"/>
          <w:szCs w:val="21"/>
          <w:highlight w:val="none"/>
          <w:lang w:val="en-US" w:eastAsia="zh-CN"/>
        </w:rPr>
        <w:t>18:00</w:t>
      </w:r>
      <w:r>
        <w:rPr>
          <w:rFonts w:cs="宋体" w:asciiTheme="minorEastAsia" w:hAnsiTheme="minorEastAsia" w:eastAsiaTheme="minorEastAsia"/>
          <w:sz w:val="21"/>
          <w:szCs w:val="21"/>
          <w:highlight w:val="none"/>
        </w:rPr>
        <w:t>前，将购买</w:t>
      </w:r>
      <w:r>
        <w:rPr>
          <w:rFonts w:hint="eastAsia" w:cs="宋体" w:asciiTheme="minorEastAsia" w:hAnsiTheme="minorEastAsia" w:eastAsiaTheme="minorEastAsia"/>
          <w:sz w:val="21"/>
          <w:szCs w:val="21"/>
          <w:highlight w:val="none"/>
          <w:lang w:eastAsia="zh-CN"/>
        </w:rPr>
        <w:t>招标文件</w:t>
      </w:r>
      <w:r>
        <w:rPr>
          <w:rFonts w:cs="宋体" w:asciiTheme="minorEastAsia" w:hAnsiTheme="minorEastAsia" w:eastAsiaTheme="minorEastAsia"/>
          <w:sz w:val="21"/>
          <w:szCs w:val="21"/>
          <w:highlight w:val="none"/>
        </w:rPr>
        <w:t>的款项电汇至</w:t>
      </w:r>
      <w:r>
        <w:rPr>
          <w:rFonts w:hint="eastAsia" w:cs="宋体" w:asciiTheme="minorEastAsia" w:hAnsiTheme="minorEastAsia" w:eastAsiaTheme="minorEastAsia"/>
          <w:sz w:val="21"/>
          <w:szCs w:val="21"/>
          <w:highlight w:val="none"/>
        </w:rPr>
        <w:t>采购人</w:t>
      </w:r>
      <w:r>
        <w:rPr>
          <w:rFonts w:cs="宋体" w:asciiTheme="minorEastAsia" w:hAnsiTheme="minorEastAsia" w:eastAsiaTheme="minorEastAsia"/>
          <w:sz w:val="21"/>
          <w:szCs w:val="21"/>
          <w:highlight w:val="none"/>
        </w:rPr>
        <w:t>指定帐户</w:t>
      </w:r>
      <w:r>
        <w:rPr>
          <w:rFonts w:hint="eastAsia" w:cs="宋体" w:asciiTheme="minorEastAsia" w:hAnsiTheme="minorEastAsia" w:eastAsiaTheme="minorEastAsia"/>
          <w:sz w:val="21"/>
          <w:szCs w:val="21"/>
          <w:highlight w:val="none"/>
          <w:lang w:eastAsia="zh-CN"/>
        </w:rPr>
        <w:t>，</w:t>
      </w:r>
      <w:r>
        <w:rPr>
          <w:rFonts w:cs="宋体" w:asciiTheme="minorEastAsia" w:hAnsiTheme="minorEastAsia" w:eastAsiaTheme="minorEastAsia"/>
          <w:b/>
          <w:bCs/>
          <w:sz w:val="21"/>
          <w:szCs w:val="21"/>
          <w:highlight w:val="none"/>
        </w:rPr>
        <w:t>购买标书时，售标帐户不接受个人帐户汇款，否则视为无效购标，采购人不接受其单位投标文件</w:t>
      </w:r>
      <w:r>
        <w:rPr>
          <w:rFonts w:cs="宋体" w:asciiTheme="minorEastAsia" w:hAnsiTheme="minorEastAsia" w:eastAsiaTheme="minorEastAsia"/>
          <w:sz w:val="21"/>
          <w:szCs w:val="21"/>
          <w:highlight w:val="none"/>
        </w:rPr>
        <w:t>。</w:t>
      </w:r>
      <w:r>
        <w:rPr>
          <w:rFonts w:hint="eastAsia" w:cs="宋体" w:asciiTheme="minorEastAsia" w:hAnsiTheme="minorEastAsia" w:eastAsiaTheme="minorEastAsia"/>
          <w:sz w:val="21"/>
          <w:szCs w:val="21"/>
          <w:highlight w:val="none"/>
        </w:rPr>
        <w:t>（账户名称：中铁六局集团物资工贸有限公司，开户银行：</w:t>
      </w:r>
      <w:r>
        <w:rPr>
          <w:rFonts w:hint="eastAsia" w:cs="宋体" w:asciiTheme="minorEastAsia" w:hAnsiTheme="minorEastAsia" w:eastAsiaTheme="minorEastAsia"/>
          <w:sz w:val="21"/>
          <w:szCs w:val="21"/>
          <w:highlight w:val="none"/>
          <w:lang w:eastAsia="zh-CN"/>
        </w:rPr>
        <w:t>中国农业银行股份有限公司总行营业部（非转汇行）</w:t>
      </w:r>
      <w:r>
        <w:rPr>
          <w:rFonts w:hint="eastAsia" w:cs="宋体" w:asciiTheme="minorEastAsia" w:hAnsiTheme="minorEastAsia" w:eastAsiaTheme="minorEastAsia"/>
          <w:sz w:val="21"/>
          <w:szCs w:val="21"/>
          <w:highlight w:val="none"/>
        </w:rPr>
        <w:t>，账号：</w:t>
      </w:r>
      <w:r>
        <w:rPr>
          <w:rFonts w:hint="eastAsia" w:cs="宋体" w:asciiTheme="minorEastAsia" w:hAnsiTheme="minorEastAsia" w:eastAsiaTheme="minorEastAsia"/>
          <w:sz w:val="21"/>
          <w:szCs w:val="21"/>
          <w:highlight w:val="none"/>
          <w:lang w:eastAsia="zh-CN"/>
        </w:rPr>
        <w:t>20110101926000180002，</w:t>
      </w:r>
      <w:r>
        <w:rPr>
          <w:rFonts w:hint="eastAsia" w:cs="宋体" w:asciiTheme="minorEastAsia" w:hAnsiTheme="minorEastAsia" w:eastAsiaTheme="minorEastAsia"/>
          <w:sz w:val="21"/>
          <w:szCs w:val="21"/>
          <w:highlight w:val="none"/>
          <w:lang w:val="en-US" w:eastAsia="zh-CN"/>
        </w:rPr>
        <w:t>联行号：103100000018</w:t>
      </w:r>
      <w:r>
        <w:rPr>
          <w:rFonts w:hint="eastAsia" w:cs="宋体" w:asciiTheme="minorEastAsia" w:hAnsiTheme="minorEastAsia" w:eastAsiaTheme="minorEastAsia"/>
          <w:sz w:val="21"/>
          <w:szCs w:val="21"/>
          <w:highlight w:val="none"/>
        </w:rPr>
        <w:fldChar w:fldCharType="begin"/>
      </w:r>
      <w:r>
        <w:rPr>
          <w:rFonts w:hint="eastAsia" w:cs="宋体" w:asciiTheme="minorEastAsia" w:hAnsiTheme="minorEastAsia" w:eastAsiaTheme="minorEastAsia"/>
          <w:sz w:val="21"/>
          <w:szCs w:val="21"/>
          <w:highlight w:val="none"/>
        </w:rPr>
        <w:instrText xml:space="preserve"> HYPERLINK "mailto:11001016201052509032），在汇款单上注明标书款、项目名称及所投包件号，汇款单位名称与响应人名称须完全一致。响应人将银行回执单、响应申请表、单位法人授权委托书、被授权人身份证的扫描件发送至采采购人电子邮箱wmfgs2014@163.com，邮件主题为“922响应+所投包件号+响应人名称+联系电话”，谈判单位收到信息经核实后，将电子版标书通过邮件发送至响应人响应申请所用邮箱。" </w:instrText>
      </w:r>
      <w:r>
        <w:rPr>
          <w:rFonts w:hint="eastAsia" w:cs="宋体" w:asciiTheme="minorEastAsia" w:hAnsiTheme="minorEastAsia" w:eastAsiaTheme="minorEastAsia"/>
          <w:sz w:val="21"/>
          <w:szCs w:val="21"/>
          <w:highlight w:val="none"/>
        </w:rPr>
        <w:fldChar w:fldCharType="separate"/>
      </w:r>
      <w:r>
        <w:rPr>
          <w:rFonts w:hint="eastAsia" w:cs="宋体" w:asciiTheme="minorEastAsia" w:hAnsiTheme="minorEastAsia" w:eastAsiaTheme="minorEastAsia"/>
          <w:sz w:val="21"/>
          <w:szCs w:val="21"/>
          <w:highlight w:val="none"/>
        </w:rPr>
        <w:t>），在汇款单上注明标书款、项目名称及所投包件号，汇款单位名称与响应人名称须完全一致。响应人将银行回执单、响应申请表、单位法人授权委托书、被授权人身份证的扫描件发送至采购人电子邮箱</w:t>
      </w:r>
      <w:r>
        <w:rPr>
          <w:rFonts w:hint="eastAsia" w:cs="宋体" w:asciiTheme="minorEastAsia" w:hAnsiTheme="minorEastAsia" w:eastAsiaTheme="minorEastAsia"/>
          <w:sz w:val="24"/>
          <w:highlight w:val="none"/>
        </w:rPr>
        <w:t>zbsyb52733250@163.com</w:t>
      </w:r>
      <w:r>
        <w:rPr>
          <w:rFonts w:hint="eastAsia" w:cs="宋体" w:asciiTheme="minorEastAsia" w:hAnsiTheme="minorEastAsia" w:eastAsiaTheme="minorEastAsia"/>
          <w:sz w:val="21"/>
          <w:szCs w:val="21"/>
          <w:highlight w:val="none"/>
        </w:rPr>
        <w:t>，邮件主题为“</w:t>
      </w:r>
      <w:r>
        <w:rPr>
          <w:rFonts w:hint="eastAsia" w:cs="宋体" w:asciiTheme="minorEastAsia" w:hAnsiTheme="minorEastAsia" w:eastAsiaTheme="minorEastAsia"/>
          <w:sz w:val="21"/>
          <w:szCs w:val="21"/>
          <w:highlight w:val="none"/>
          <w:u w:val="single"/>
          <w:lang w:val="en-US" w:eastAsia="zh-CN"/>
        </w:rPr>
        <w:t>1232-03</w:t>
      </w:r>
      <w:r>
        <w:rPr>
          <w:rFonts w:hint="eastAsia" w:cs="宋体" w:asciiTheme="minorEastAsia" w:hAnsiTheme="minorEastAsia" w:eastAsiaTheme="minorEastAsia"/>
          <w:sz w:val="21"/>
          <w:szCs w:val="21"/>
          <w:highlight w:val="none"/>
          <w:lang w:val="en-US" w:eastAsia="zh-CN"/>
        </w:rPr>
        <w:t>投标</w:t>
      </w:r>
      <w:r>
        <w:rPr>
          <w:rFonts w:hint="eastAsia" w:cs="宋体" w:asciiTheme="minorEastAsia" w:hAnsiTheme="minorEastAsia" w:eastAsiaTheme="minorEastAsia"/>
          <w:sz w:val="21"/>
          <w:szCs w:val="21"/>
          <w:highlight w:val="none"/>
        </w:rPr>
        <w:t>+所投包件号+</w:t>
      </w:r>
      <w:r>
        <w:rPr>
          <w:rFonts w:hint="eastAsia" w:cs="宋体" w:asciiTheme="minorEastAsia" w:hAnsiTheme="minorEastAsia" w:eastAsiaTheme="minorEastAsia"/>
          <w:sz w:val="21"/>
          <w:szCs w:val="21"/>
          <w:highlight w:val="none"/>
          <w:lang w:val="en-US" w:eastAsia="zh-CN"/>
        </w:rPr>
        <w:t>投标人</w:t>
      </w:r>
      <w:r>
        <w:rPr>
          <w:rFonts w:hint="eastAsia" w:cs="宋体" w:asciiTheme="minorEastAsia" w:hAnsiTheme="minorEastAsia" w:eastAsiaTheme="minorEastAsia"/>
          <w:sz w:val="21"/>
          <w:szCs w:val="21"/>
          <w:highlight w:val="none"/>
        </w:rPr>
        <w:t>名称+联系电话”，采购单位收到信息经核实后，将允许响应人下载标书。已支付购买标书费用的响应人，请登录中国中铁采购电子商务平台，下载</w:t>
      </w:r>
      <w:r>
        <w:rPr>
          <w:rFonts w:hint="eastAsia" w:cs="宋体" w:asciiTheme="minorEastAsia" w:hAnsiTheme="minorEastAsia" w:eastAsiaTheme="minorEastAsia"/>
          <w:sz w:val="21"/>
          <w:szCs w:val="21"/>
          <w:highlight w:val="none"/>
          <w:lang w:val="en-US" w:eastAsia="zh-CN"/>
        </w:rPr>
        <w:t>招标</w:t>
      </w:r>
      <w:r>
        <w:rPr>
          <w:rFonts w:hint="eastAsia" w:cs="宋体" w:asciiTheme="minorEastAsia" w:hAnsiTheme="minorEastAsia" w:eastAsiaTheme="minorEastAsia"/>
          <w:sz w:val="21"/>
          <w:szCs w:val="21"/>
          <w:highlight w:val="none"/>
        </w:rPr>
        <w:t>文件。</w:t>
      </w:r>
      <w:r>
        <w:rPr>
          <w:rFonts w:hint="eastAsia" w:cs="宋体" w:asciiTheme="minorEastAsia" w:hAnsiTheme="minorEastAsia" w:eastAsiaTheme="minorEastAsia"/>
          <w:sz w:val="21"/>
          <w:szCs w:val="21"/>
          <w:highlight w:val="none"/>
        </w:rPr>
        <w:fldChar w:fldCharType="end"/>
      </w:r>
    </w:p>
    <w:p>
      <w:pPr>
        <w:spacing w:line="460" w:lineRule="exact"/>
        <w:ind w:firstLine="415" w:firstLineChars="197"/>
        <w:rPr>
          <w:rFonts w:hint="eastAsia"/>
        </w:rPr>
      </w:pPr>
      <w:r>
        <w:rPr>
          <w:rFonts w:hint="eastAsia" w:cs="Times New Roman" w:asciiTheme="minorEastAsia" w:hAnsiTheme="minorEastAsia" w:eastAsiaTheme="minorEastAsia"/>
          <w:b/>
          <w:bCs/>
          <w:kern w:val="2"/>
          <w:sz w:val="21"/>
          <w:szCs w:val="21"/>
          <w:highlight w:val="none"/>
          <w:lang w:val="en-US" w:eastAsia="zh-CN" w:bidi="ar-SA"/>
        </w:rPr>
        <w:t>已缴纳过HHJTTLWZ-DL-2021-1232、1232-01、1232-02、1232-03  散装水泥SN-01包</w:t>
      </w:r>
      <w:r>
        <w:rPr>
          <w:rFonts w:hint="eastAsia" w:ascii="宋体" w:hAnsi="宋体" w:cs="宋体"/>
          <w:b/>
          <w:bCs/>
          <w:kern w:val="0"/>
          <w:sz w:val="24"/>
          <w:szCs w:val="24"/>
          <w:highlight w:val="none"/>
          <w:lang w:val="en-US" w:eastAsia="zh-CN"/>
        </w:rPr>
        <w:t>件</w:t>
      </w:r>
      <w:r>
        <w:rPr>
          <w:rFonts w:hint="eastAsia" w:cs="Times New Roman" w:asciiTheme="minorEastAsia" w:hAnsiTheme="minorEastAsia" w:eastAsiaTheme="minorEastAsia"/>
          <w:b/>
          <w:bCs/>
          <w:kern w:val="2"/>
          <w:sz w:val="21"/>
          <w:szCs w:val="21"/>
          <w:highlight w:val="none"/>
          <w:lang w:val="en-US" w:eastAsia="zh-CN" w:bidi="ar-SA"/>
        </w:rPr>
        <w:t>标书费及谈判保证金的投标人无需再次缴纳，可直接参与本次招标。</w:t>
      </w:r>
    </w:p>
    <w:p>
      <w:pPr>
        <w:spacing w:line="460" w:lineRule="exact"/>
        <w:ind w:firstLine="475" w:firstLineChars="197"/>
        <w:rPr>
          <w:rFonts w:hint="default" w:eastAsiaTheme="minorEastAsia"/>
          <w:highlight w:val="none"/>
          <w:lang w:val="en-US" w:eastAsia="zh-CN"/>
        </w:rPr>
      </w:pPr>
      <w:r>
        <w:rPr>
          <w:rFonts w:hint="eastAsia" w:cs="宋体" w:asciiTheme="minorEastAsia" w:hAnsiTheme="minorEastAsia" w:eastAsiaTheme="minorEastAsia"/>
          <w:b/>
          <w:bCs/>
          <w:kern w:val="2"/>
          <w:sz w:val="24"/>
          <w:szCs w:val="24"/>
          <w:highlight w:val="none"/>
        </w:rPr>
        <w:t>本次招标由中铁六局集团物资工贸有限公司代理，代理费由成交供应商缴纳，按中标金额0.1%收取，中标金额5000万元以上部分按0.05%收取代理服务费。中标结果公示后，在采购人发放中标通知书前，代理费将直接从谈判保证金中予以扣除(购买标书参与投标的行为将被默认为同意该条款)，谈判保证金不足代理费的需补交。</w:t>
      </w:r>
    </w:p>
    <w:p>
      <w:pPr>
        <w:pStyle w:val="4"/>
        <w:spacing w:before="0" w:line="440" w:lineRule="exact"/>
        <w:rPr>
          <w:rFonts w:asciiTheme="minorEastAsia" w:hAnsiTheme="minorEastAsia" w:eastAsiaTheme="minorEastAsia"/>
          <w:sz w:val="21"/>
          <w:szCs w:val="21"/>
          <w:highlight w:val="none"/>
        </w:rPr>
      </w:pPr>
      <w:bookmarkStart w:id="4" w:name="_Toc30057829"/>
      <w:r>
        <w:rPr>
          <w:rFonts w:hint="eastAsia" w:asciiTheme="minorEastAsia" w:hAnsiTheme="minorEastAsia" w:eastAsiaTheme="minorEastAsia"/>
          <w:sz w:val="21"/>
          <w:szCs w:val="21"/>
          <w:highlight w:val="none"/>
        </w:rPr>
        <w:t>5．投标文件的递交</w:t>
      </w:r>
      <w:bookmarkEnd w:id="4"/>
    </w:p>
    <w:p>
      <w:pPr>
        <w:widowControl/>
        <w:spacing w:line="440" w:lineRule="exact"/>
        <w:ind w:firstLine="420"/>
        <w:rPr>
          <w:rFonts w:cs="宋体" w:asciiTheme="minorEastAsia" w:hAnsiTheme="minorEastAsia" w:eastAsiaTheme="minorEastAsia"/>
          <w:bCs/>
          <w:sz w:val="21"/>
          <w:szCs w:val="21"/>
          <w:highlight w:val="none"/>
        </w:rPr>
      </w:pPr>
      <w:r>
        <w:rPr>
          <w:rFonts w:hint="eastAsia" w:cs="宋体" w:asciiTheme="minorEastAsia" w:hAnsiTheme="minorEastAsia" w:eastAsiaTheme="minorEastAsia"/>
          <w:bCs/>
          <w:sz w:val="21"/>
          <w:szCs w:val="21"/>
          <w:highlight w:val="none"/>
        </w:rPr>
        <w:t>本次招标通过鲁班平台（http://www.crecgec .com）接收PDF电子版投标文件，请投标人在规定时间前，在该平台上传投标文件PDF电子版并报价。（</w:t>
      </w:r>
      <w:r>
        <w:rPr>
          <w:rFonts w:hint="eastAsia" w:cs="宋体" w:asciiTheme="minorEastAsia" w:hAnsiTheme="minorEastAsia" w:eastAsiaTheme="minorEastAsia"/>
          <w:b/>
          <w:bCs/>
          <w:sz w:val="21"/>
          <w:szCs w:val="21"/>
          <w:highlight w:val="none"/>
        </w:rPr>
        <w:t>提醒投标人</w:t>
      </w:r>
      <w:r>
        <w:rPr>
          <w:rFonts w:hint="eastAsia" w:cs="宋体" w:asciiTheme="minorEastAsia" w:hAnsiTheme="minorEastAsia" w:eastAsiaTheme="minorEastAsia"/>
          <w:bCs/>
          <w:sz w:val="21"/>
          <w:szCs w:val="21"/>
          <w:highlight w:val="none"/>
        </w:rPr>
        <w:t>：宜提前上传投标文件PDF电子版，避免因网络等原因导致投标截止时间前未上传完成，导致投标无效。）</w:t>
      </w:r>
    </w:p>
    <w:p>
      <w:pPr>
        <w:spacing w:line="440" w:lineRule="exact"/>
        <w:ind w:firstLine="424" w:firstLineChars="202"/>
        <w:jc w:val="left"/>
        <w:rPr>
          <w:rFonts w:asciiTheme="minorEastAsia" w:hAnsiTheme="minorEastAsia" w:eastAsiaTheme="minorEastAsia"/>
          <w:sz w:val="21"/>
          <w:szCs w:val="21"/>
          <w:highlight w:val="none"/>
        </w:rPr>
      </w:pPr>
      <w:r>
        <w:rPr>
          <w:rFonts w:hint="eastAsia" w:cs="宋体" w:asciiTheme="minorEastAsia" w:hAnsiTheme="minorEastAsia" w:eastAsiaTheme="minorEastAsia"/>
          <w:bCs/>
          <w:sz w:val="21"/>
          <w:szCs w:val="21"/>
          <w:highlight w:val="none"/>
        </w:rPr>
        <w:t>上传投标文件的截止时间（投标截止时间，下同）为20</w:t>
      </w:r>
      <w:r>
        <w:rPr>
          <w:rFonts w:hint="eastAsia" w:cs="宋体" w:asciiTheme="minorEastAsia" w:hAnsiTheme="minorEastAsia" w:eastAsiaTheme="minorEastAsia"/>
          <w:bCs/>
          <w:sz w:val="21"/>
          <w:szCs w:val="21"/>
          <w:highlight w:val="none"/>
          <w:lang w:val="en-US" w:eastAsia="zh-CN"/>
        </w:rPr>
        <w:t>21</w:t>
      </w:r>
      <w:r>
        <w:rPr>
          <w:rFonts w:hint="eastAsia" w:cs="宋体" w:asciiTheme="minorEastAsia" w:hAnsiTheme="minorEastAsia" w:eastAsiaTheme="minorEastAsia"/>
          <w:bCs/>
          <w:sz w:val="21"/>
          <w:szCs w:val="21"/>
          <w:highlight w:val="none"/>
        </w:rPr>
        <w:t>年</w:t>
      </w:r>
      <w:r>
        <w:rPr>
          <w:rFonts w:hint="eastAsia" w:cs="宋体" w:asciiTheme="minorEastAsia" w:hAnsiTheme="minorEastAsia" w:eastAsiaTheme="minorEastAsia"/>
          <w:bCs/>
          <w:sz w:val="21"/>
          <w:szCs w:val="21"/>
          <w:highlight w:val="none"/>
          <w:lang w:val="en-US" w:eastAsia="zh-CN"/>
        </w:rPr>
        <w:t>9</w:t>
      </w:r>
      <w:r>
        <w:rPr>
          <w:rFonts w:hint="eastAsia" w:cs="宋体" w:asciiTheme="minorEastAsia" w:hAnsiTheme="minorEastAsia" w:eastAsiaTheme="minorEastAsia"/>
          <w:bCs/>
          <w:sz w:val="21"/>
          <w:szCs w:val="21"/>
          <w:highlight w:val="none"/>
        </w:rPr>
        <w:t>月</w:t>
      </w:r>
      <w:r>
        <w:rPr>
          <w:rFonts w:hint="eastAsia" w:cs="宋体" w:asciiTheme="minorEastAsia" w:hAnsiTheme="minorEastAsia" w:eastAsiaTheme="minorEastAsia"/>
          <w:bCs/>
          <w:sz w:val="21"/>
          <w:szCs w:val="21"/>
          <w:highlight w:val="none"/>
          <w:lang w:val="en-US" w:eastAsia="zh-CN"/>
        </w:rPr>
        <w:t>16</w:t>
      </w:r>
      <w:r>
        <w:rPr>
          <w:rFonts w:hint="eastAsia" w:cs="宋体" w:asciiTheme="minorEastAsia" w:hAnsiTheme="minorEastAsia" w:eastAsiaTheme="minorEastAsia"/>
          <w:bCs/>
          <w:sz w:val="21"/>
          <w:szCs w:val="21"/>
          <w:highlight w:val="none"/>
        </w:rPr>
        <w:t>日 9时30 分。</w:t>
      </w:r>
      <w:r>
        <w:rPr>
          <w:rFonts w:hint="eastAsia" w:asciiTheme="minorEastAsia" w:hAnsiTheme="minorEastAsia" w:eastAsiaTheme="minorEastAsia"/>
          <w:sz w:val="21"/>
          <w:szCs w:val="21"/>
          <w:highlight w:val="none"/>
        </w:rPr>
        <w:t>逾期上传投标文件PDF电子版或仅上传</w:t>
      </w:r>
      <w:r>
        <w:rPr>
          <w:rFonts w:asciiTheme="minorEastAsia" w:hAnsiTheme="minorEastAsia" w:eastAsiaTheme="minorEastAsia"/>
          <w:sz w:val="21"/>
          <w:szCs w:val="21"/>
          <w:highlight w:val="none"/>
        </w:rPr>
        <w:t>投标文件不报价</w:t>
      </w:r>
      <w:r>
        <w:rPr>
          <w:rFonts w:hint="eastAsia" w:asciiTheme="minorEastAsia" w:hAnsiTheme="minorEastAsia" w:eastAsiaTheme="minorEastAsia"/>
          <w:sz w:val="21"/>
          <w:szCs w:val="21"/>
          <w:highlight w:val="none"/>
        </w:rPr>
        <w:t>，</w:t>
      </w:r>
      <w:r>
        <w:rPr>
          <w:rFonts w:asciiTheme="minorEastAsia" w:hAnsiTheme="minorEastAsia" w:eastAsiaTheme="minorEastAsia"/>
          <w:sz w:val="21"/>
          <w:szCs w:val="21"/>
          <w:highlight w:val="none"/>
        </w:rPr>
        <w:t>或仅在</w:t>
      </w:r>
      <w:r>
        <w:rPr>
          <w:rFonts w:hint="eastAsia" w:asciiTheme="minorEastAsia" w:hAnsiTheme="minorEastAsia" w:eastAsiaTheme="minorEastAsia"/>
          <w:sz w:val="21"/>
          <w:szCs w:val="21"/>
          <w:highlight w:val="none"/>
        </w:rPr>
        <w:t>鲁班</w:t>
      </w:r>
      <w:r>
        <w:rPr>
          <w:rFonts w:asciiTheme="minorEastAsia" w:hAnsiTheme="minorEastAsia" w:eastAsiaTheme="minorEastAsia"/>
          <w:sz w:val="21"/>
          <w:szCs w:val="21"/>
          <w:highlight w:val="none"/>
        </w:rPr>
        <w:t>平台报价</w:t>
      </w:r>
      <w:r>
        <w:rPr>
          <w:rFonts w:hint="eastAsia" w:asciiTheme="minorEastAsia" w:hAnsiTheme="minorEastAsia" w:eastAsiaTheme="minorEastAsia"/>
          <w:sz w:val="21"/>
          <w:szCs w:val="21"/>
          <w:highlight w:val="none"/>
        </w:rPr>
        <w:t>但</w:t>
      </w:r>
      <w:r>
        <w:rPr>
          <w:rFonts w:asciiTheme="minorEastAsia" w:hAnsiTheme="minorEastAsia" w:eastAsiaTheme="minorEastAsia"/>
          <w:sz w:val="21"/>
          <w:szCs w:val="21"/>
          <w:highlight w:val="none"/>
        </w:rPr>
        <w:t>不上传</w:t>
      </w:r>
      <w:r>
        <w:rPr>
          <w:rFonts w:hint="eastAsia" w:asciiTheme="minorEastAsia" w:hAnsiTheme="minorEastAsia" w:eastAsiaTheme="minorEastAsia"/>
          <w:sz w:val="21"/>
          <w:szCs w:val="21"/>
          <w:highlight w:val="none"/>
        </w:rPr>
        <w:t>投标</w:t>
      </w:r>
      <w:r>
        <w:rPr>
          <w:rFonts w:asciiTheme="minorEastAsia" w:hAnsiTheme="minorEastAsia" w:eastAsiaTheme="minorEastAsia"/>
          <w:sz w:val="21"/>
          <w:szCs w:val="21"/>
          <w:highlight w:val="none"/>
        </w:rPr>
        <w:t>文件的</w:t>
      </w:r>
      <w:r>
        <w:rPr>
          <w:rFonts w:hint="eastAsia" w:asciiTheme="minorEastAsia" w:hAnsiTheme="minorEastAsia" w:eastAsiaTheme="minorEastAsia"/>
          <w:sz w:val="21"/>
          <w:szCs w:val="21"/>
          <w:highlight w:val="none"/>
        </w:rPr>
        <w:t>，鲁班平台将自动判定为无效投标，招标人将不予受理。</w:t>
      </w:r>
    </w:p>
    <w:p>
      <w:pPr>
        <w:pStyle w:val="4"/>
        <w:spacing w:before="0" w:line="440" w:lineRule="exact"/>
        <w:rPr>
          <w:rFonts w:asciiTheme="minorEastAsia" w:hAnsiTheme="minorEastAsia" w:eastAsiaTheme="minorEastAsia"/>
          <w:sz w:val="21"/>
          <w:szCs w:val="21"/>
          <w:highlight w:val="none"/>
        </w:rPr>
      </w:pPr>
      <w:bookmarkStart w:id="5" w:name="_Toc30057830"/>
      <w:r>
        <w:rPr>
          <w:rFonts w:hint="eastAsia" w:asciiTheme="minorEastAsia" w:hAnsiTheme="minorEastAsia" w:eastAsiaTheme="minorEastAsia"/>
          <w:sz w:val="21"/>
          <w:szCs w:val="21"/>
          <w:highlight w:val="none"/>
        </w:rPr>
        <w:t>6.开标</w:t>
      </w:r>
      <w:bookmarkEnd w:id="5"/>
    </w:p>
    <w:p>
      <w:pPr>
        <w:spacing w:line="440" w:lineRule="exact"/>
        <w:ind w:firstLine="42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6.1时间：202</w:t>
      </w:r>
      <w:r>
        <w:rPr>
          <w:rFonts w:hint="eastAsia" w:asciiTheme="minorEastAsia" w:hAnsiTheme="minorEastAsia" w:eastAsiaTheme="minorEastAsia"/>
          <w:sz w:val="21"/>
          <w:szCs w:val="21"/>
          <w:highlight w:val="none"/>
          <w:lang w:val="en-US" w:eastAsia="zh-CN"/>
        </w:rPr>
        <w:t>1</w:t>
      </w:r>
      <w:r>
        <w:rPr>
          <w:rFonts w:hint="eastAsia" w:asciiTheme="minorEastAsia" w:hAnsiTheme="minorEastAsia" w:eastAsiaTheme="minorEastAsia"/>
          <w:sz w:val="21"/>
          <w:szCs w:val="21"/>
          <w:highlight w:val="none"/>
        </w:rPr>
        <w:t>年</w:t>
      </w:r>
      <w:r>
        <w:rPr>
          <w:rFonts w:hint="eastAsia" w:asciiTheme="minorEastAsia" w:hAnsiTheme="minorEastAsia" w:eastAsiaTheme="minorEastAsia"/>
          <w:sz w:val="21"/>
          <w:szCs w:val="21"/>
          <w:highlight w:val="none"/>
          <w:lang w:val="en-US" w:eastAsia="zh-CN"/>
        </w:rPr>
        <w:t>9</w:t>
      </w:r>
      <w:r>
        <w:rPr>
          <w:rFonts w:hint="eastAsia" w:asciiTheme="minorEastAsia" w:hAnsiTheme="minorEastAsia" w:eastAsiaTheme="minorEastAsia"/>
          <w:sz w:val="21"/>
          <w:szCs w:val="21"/>
          <w:highlight w:val="none"/>
        </w:rPr>
        <w:t>月</w:t>
      </w:r>
      <w:r>
        <w:rPr>
          <w:rFonts w:hint="eastAsia" w:asciiTheme="minorEastAsia" w:hAnsiTheme="minorEastAsia" w:eastAsiaTheme="minorEastAsia"/>
          <w:sz w:val="21"/>
          <w:szCs w:val="21"/>
          <w:highlight w:val="none"/>
          <w:lang w:val="en-US" w:eastAsia="zh-CN"/>
        </w:rPr>
        <w:t>16</w:t>
      </w:r>
      <w:r>
        <w:rPr>
          <w:rFonts w:hint="eastAsia" w:asciiTheme="minorEastAsia" w:hAnsiTheme="minorEastAsia" w:eastAsiaTheme="minorEastAsia"/>
          <w:sz w:val="21"/>
          <w:szCs w:val="21"/>
          <w:highlight w:val="none"/>
        </w:rPr>
        <w:t>日 9 时30 分（投标截止时间）。</w:t>
      </w:r>
    </w:p>
    <w:p>
      <w:pPr>
        <w:snapToGrid w:val="0"/>
        <w:spacing w:line="440" w:lineRule="exact"/>
        <w:ind w:firstLine="424" w:firstLineChars="202"/>
        <w:rPr>
          <w:rFonts w:hint="eastAsia"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6.2地点：</w:t>
      </w:r>
      <w:r>
        <w:rPr>
          <w:rFonts w:hint="eastAsia" w:asciiTheme="minorEastAsia" w:hAnsiTheme="minorEastAsia" w:eastAsiaTheme="minorEastAsia"/>
          <w:sz w:val="21"/>
          <w:szCs w:val="21"/>
          <w:highlight w:val="none"/>
          <w:lang w:val="zh-CN"/>
        </w:rPr>
        <w:t>中铁六局集团物资工贸有限公司一楼会议室（北京市海淀区万寿路2号）</w:t>
      </w:r>
    </w:p>
    <w:p>
      <w:pPr>
        <w:snapToGrid w:val="0"/>
        <w:spacing w:line="440" w:lineRule="exact"/>
        <w:ind w:firstLine="424" w:firstLineChars="202"/>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6.3本次招标在中国中铁采购电子商务平台</w:t>
      </w:r>
      <w:r>
        <w:rPr>
          <w:rFonts w:hint="eastAsia" w:asciiTheme="minorEastAsia" w:hAnsiTheme="minorEastAsia" w:eastAsiaTheme="minorEastAsia"/>
          <w:b/>
          <w:sz w:val="21"/>
          <w:szCs w:val="21"/>
          <w:highlight w:val="none"/>
        </w:rPr>
        <w:t>实施网络开标</w:t>
      </w:r>
      <w:r>
        <w:rPr>
          <w:rFonts w:hint="eastAsia" w:asciiTheme="minorEastAsia" w:hAnsiTheme="minorEastAsia" w:eastAsiaTheme="minorEastAsia"/>
          <w:sz w:val="21"/>
          <w:szCs w:val="21"/>
          <w:highlight w:val="none"/>
        </w:rPr>
        <w:t>。各投标人</w:t>
      </w:r>
      <w:r>
        <w:rPr>
          <w:rFonts w:hint="eastAsia" w:asciiTheme="minorEastAsia" w:hAnsiTheme="minorEastAsia" w:eastAsiaTheme="minorEastAsia"/>
          <w:b/>
          <w:sz w:val="21"/>
          <w:szCs w:val="21"/>
          <w:highlight w:val="none"/>
        </w:rPr>
        <w:t>可不到开标现场参加开标会</w:t>
      </w:r>
      <w:r>
        <w:rPr>
          <w:rFonts w:hint="eastAsia" w:asciiTheme="minorEastAsia" w:hAnsiTheme="minorEastAsia" w:eastAsiaTheme="minorEastAsia"/>
          <w:sz w:val="21"/>
          <w:szCs w:val="21"/>
          <w:highlight w:val="none"/>
        </w:rPr>
        <w:t>；投标人如有参观开标流程的需要，请在开标前至少提前3日通过邮件向招标组织人告知。</w:t>
      </w:r>
    </w:p>
    <w:p>
      <w:pPr>
        <w:spacing w:line="440" w:lineRule="exact"/>
        <w:ind w:firstLine="42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开标后，请投标人自行</w:t>
      </w:r>
      <w:r>
        <w:rPr>
          <w:rFonts w:hint="eastAsia" w:asciiTheme="minorEastAsia" w:hAnsiTheme="minorEastAsia" w:eastAsiaTheme="minorEastAsia"/>
          <w:b/>
          <w:sz w:val="21"/>
          <w:szCs w:val="21"/>
          <w:highlight w:val="none"/>
        </w:rPr>
        <w:t>解锁鲁班平台的报价</w:t>
      </w:r>
      <w:r>
        <w:rPr>
          <w:rFonts w:hint="eastAsia" w:asciiTheme="minorEastAsia" w:hAnsiTheme="minorEastAsia" w:eastAsiaTheme="minorEastAsia"/>
          <w:sz w:val="21"/>
          <w:szCs w:val="21"/>
          <w:highlight w:val="none"/>
        </w:rPr>
        <w:t>，开标</w:t>
      </w:r>
      <w:r>
        <w:rPr>
          <w:rFonts w:hint="eastAsia" w:asciiTheme="minorEastAsia" w:hAnsiTheme="minorEastAsia" w:eastAsiaTheme="minorEastAsia"/>
          <w:sz w:val="21"/>
          <w:szCs w:val="21"/>
          <w:highlight w:val="none"/>
          <w:lang w:val="en-US" w:eastAsia="zh-CN"/>
        </w:rPr>
        <w:t>2</w:t>
      </w:r>
      <w:r>
        <w:rPr>
          <w:rFonts w:hint="eastAsia" w:asciiTheme="minorEastAsia" w:hAnsiTheme="minorEastAsia" w:eastAsiaTheme="minorEastAsia"/>
          <w:sz w:val="21"/>
          <w:szCs w:val="21"/>
          <w:highlight w:val="none"/>
        </w:rPr>
        <w:t>小时后，招标人在鲁班平台公布开标报价记录。在公布开标报价记录前，无故不完成报价解锁操作的投标人，</w:t>
      </w:r>
      <w:r>
        <w:rPr>
          <w:rFonts w:hint="eastAsia" w:asciiTheme="minorEastAsia" w:hAnsiTheme="minorEastAsia" w:eastAsiaTheme="minorEastAsia"/>
          <w:b/>
          <w:sz w:val="21"/>
          <w:szCs w:val="21"/>
          <w:highlight w:val="none"/>
        </w:rPr>
        <w:t>视为无投标报价</w:t>
      </w:r>
      <w:r>
        <w:rPr>
          <w:rFonts w:hint="eastAsia" w:asciiTheme="minorEastAsia" w:hAnsiTheme="minorEastAsia" w:eastAsiaTheme="minorEastAsia"/>
          <w:sz w:val="21"/>
          <w:szCs w:val="21"/>
          <w:highlight w:val="none"/>
        </w:rPr>
        <w:t>。招标人有权在所有投标人均进行报价解锁后，提前公布开标报价记录。投标人受客观条件影响，不能及时解锁报价的，可在开标后向招标组织人联系，告知解锁密码后，委托招标组织人操作解锁。</w:t>
      </w:r>
    </w:p>
    <w:p>
      <w:pPr>
        <w:spacing w:line="440" w:lineRule="exact"/>
        <w:ind w:firstLine="420" w:firstLineChars="200"/>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上述安排如有变化，招标人将通过发布公告的媒介发布通知。</w:t>
      </w:r>
    </w:p>
    <w:p>
      <w:pPr>
        <w:pStyle w:val="4"/>
        <w:spacing w:before="0" w:line="440" w:lineRule="exact"/>
        <w:rPr>
          <w:rFonts w:asciiTheme="minorEastAsia" w:hAnsiTheme="minorEastAsia" w:eastAsiaTheme="minorEastAsia"/>
          <w:sz w:val="21"/>
          <w:szCs w:val="21"/>
          <w:highlight w:val="none"/>
        </w:rPr>
      </w:pPr>
      <w:bookmarkStart w:id="6" w:name="_Toc30057831"/>
      <w:r>
        <w:rPr>
          <w:rFonts w:hint="eastAsia" w:asciiTheme="minorEastAsia" w:hAnsiTheme="minorEastAsia" w:eastAsiaTheme="minorEastAsia"/>
          <w:sz w:val="21"/>
          <w:szCs w:val="21"/>
          <w:highlight w:val="none"/>
        </w:rPr>
        <w:t>7．发布公告的媒介</w:t>
      </w:r>
      <w:bookmarkEnd w:id="6"/>
    </w:p>
    <w:p>
      <w:pPr>
        <w:spacing w:line="440" w:lineRule="exact"/>
        <w:ind w:firstLine="842" w:firstLineChars="401"/>
        <w:jc w:val="left"/>
        <w:rPr>
          <w:rFonts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本次招标公告同时在中国中铁采购电子商务平台（http://www.crecgec.com/）</w:t>
      </w:r>
      <w:r>
        <w:rPr>
          <w:rFonts w:hint="eastAsia" w:asciiTheme="minorEastAsia" w:hAnsiTheme="minorEastAsia" w:eastAsiaTheme="minorEastAsia"/>
          <w:sz w:val="21"/>
          <w:szCs w:val="21"/>
          <w:highlight w:val="none"/>
          <w:lang w:eastAsia="zh-CN"/>
        </w:rPr>
        <w:t>、</w:t>
      </w:r>
      <w:r>
        <w:rPr>
          <w:rFonts w:hint="eastAsia" w:asciiTheme="minorEastAsia" w:hAnsiTheme="minorEastAsia" w:eastAsiaTheme="minorEastAsia"/>
          <w:sz w:val="21"/>
          <w:szCs w:val="21"/>
          <w:highlight w:val="none"/>
        </w:rPr>
        <w:t>中铁六局采购网（http://www.wm.crsg.com.cn/）上发布。</w:t>
      </w:r>
    </w:p>
    <w:p>
      <w:pPr>
        <w:pStyle w:val="4"/>
        <w:spacing w:before="0" w:line="440" w:lineRule="exact"/>
        <w:rPr>
          <w:rFonts w:asciiTheme="minorEastAsia" w:hAnsiTheme="minorEastAsia" w:eastAsiaTheme="minorEastAsia"/>
          <w:sz w:val="21"/>
          <w:szCs w:val="21"/>
          <w:highlight w:val="none"/>
        </w:rPr>
      </w:pPr>
      <w:bookmarkStart w:id="7" w:name="_Toc30057832"/>
      <w:r>
        <w:rPr>
          <w:rFonts w:hint="eastAsia" w:asciiTheme="minorEastAsia" w:hAnsiTheme="minorEastAsia" w:eastAsiaTheme="minorEastAsia"/>
          <w:sz w:val="21"/>
          <w:szCs w:val="21"/>
          <w:highlight w:val="none"/>
        </w:rPr>
        <w:t>8．联系方式</w:t>
      </w:r>
      <w:bookmarkEnd w:id="7"/>
    </w:p>
    <w:p>
      <w:pPr>
        <w:spacing w:line="440" w:lineRule="exact"/>
        <w:ind w:firstLine="424" w:firstLineChars="202"/>
        <w:rPr>
          <w:rFonts w:cs="Times New Roman" w:asciiTheme="minorEastAsia" w:hAnsiTheme="minorEastAsia" w:eastAsiaTheme="minorEastAsia"/>
          <w:sz w:val="21"/>
          <w:szCs w:val="21"/>
          <w:highlight w:val="none"/>
        </w:rPr>
      </w:pPr>
      <w:r>
        <w:rPr>
          <w:rFonts w:hint="eastAsia" w:asciiTheme="minorEastAsia" w:hAnsiTheme="minorEastAsia" w:eastAsiaTheme="minorEastAsia"/>
          <w:sz w:val="21"/>
          <w:szCs w:val="21"/>
          <w:highlight w:val="none"/>
        </w:rPr>
        <w:t>招 标 人：</w:t>
      </w:r>
      <w:r>
        <w:rPr>
          <w:rFonts w:hint="eastAsia" w:asciiTheme="minorEastAsia" w:hAnsiTheme="minorEastAsia" w:eastAsiaTheme="minorEastAsia"/>
          <w:bCs/>
          <w:sz w:val="21"/>
          <w:szCs w:val="21"/>
          <w:highlight w:val="none"/>
        </w:rPr>
        <w:t>中铁六局集团呼和浩特铁路建设有限公司</w:t>
      </w:r>
    </w:p>
    <w:p>
      <w:pPr>
        <w:spacing w:line="440" w:lineRule="exact"/>
        <w:ind w:firstLine="424" w:firstLineChars="202"/>
        <w:rPr>
          <w:rFonts w:cs="微软雅黑" w:asciiTheme="minorEastAsia" w:hAnsiTheme="minorEastAsia" w:eastAsiaTheme="minorEastAsia"/>
          <w:sz w:val="21"/>
          <w:szCs w:val="21"/>
          <w:highlight w:val="none"/>
        </w:rPr>
      </w:pPr>
      <w:r>
        <w:rPr>
          <w:rFonts w:hint="eastAsia" w:cs="微软雅黑" w:asciiTheme="minorEastAsia" w:hAnsiTheme="minorEastAsia" w:eastAsiaTheme="minorEastAsia"/>
          <w:sz w:val="21"/>
          <w:szCs w:val="21"/>
          <w:highlight w:val="none"/>
        </w:rPr>
        <w:t>地    址：内蒙古呼和浩特市新城区车站西街11号</w:t>
      </w:r>
    </w:p>
    <w:p>
      <w:pPr>
        <w:spacing w:line="440" w:lineRule="exact"/>
        <w:ind w:firstLine="424" w:firstLineChars="202"/>
        <w:rPr>
          <w:rFonts w:hint="eastAsia" w:cs="微软雅黑" w:asciiTheme="minorEastAsia" w:hAnsiTheme="minorEastAsia" w:eastAsiaTheme="minorEastAsia"/>
          <w:sz w:val="21"/>
          <w:szCs w:val="21"/>
          <w:highlight w:val="none"/>
          <w:lang w:eastAsia="zh-CN"/>
        </w:rPr>
      </w:pPr>
      <w:r>
        <w:rPr>
          <w:rFonts w:hint="eastAsia" w:cs="微软雅黑" w:asciiTheme="minorEastAsia" w:hAnsiTheme="minorEastAsia" w:eastAsiaTheme="minorEastAsia"/>
          <w:sz w:val="21"/>
          <w:szCs w:val="21"/>
          <w:highlight w:val="none"/>
        </w:rPr>
        <w:t xml:space="preserve">联 系 人：  张  宇                  </w:t>
      </w:r>
      <w:r>
        <w:rPr>
          <w:rFonts w:hint="eastAsia" w:cs="微软雅黑" w:asciiTheme="minorEastAsia" w:hAnsiTheme="minorEastAsia" w:eastAsiaTheme="minorEastAsia"/>
          <w:sz w:val="21"/>
          <w:szCs w:val="21"/>
          <w:highlight w:val="none"/>
          <w:lang w:val="en-US" w:eastAsia="zh-CN"/>
        </w:rPr>
        <w:t>姜敏君</w:t>
      </w:r>
    </w:p>
    <w:p>
      <w:pPr>
        <w:spacing w:line="440" w:lineRule="exact"/>
        <w:ind w:firstLine="424" w:firstLineChars="202"/>
        <w:rPr>
          <w:rFonts w:cs="微软雅黑" w:asciiTheme="minorEastAsia" w:hAnsiTheme="minorEastAsia" w:eastAsiaTheme="minorEastAsia"/>
          <w:sz w:val="21"/>
          <w:szCs w:val="21"/>
          <w:highlight w:val="none"/>
        </w:rPr>
      </w:pPr>
      <w:r>
        <w:rPr>
          <w:rFonts w:hint="eastAsia" w:cs="微软雅黑" w:asciiTheme="minorEastAsia" w:hAnsiTheme="minorEastAsia" w:eastAsiaTheme="minorEastAsia"/>
          <w:sz w:val="21"/>
          <w:szCs w:val="21"/>
          <w:highlight w:val="none"/>
        </w:rPr>
        <w:t xml:space="preserve">联系电话：18586026188             </w:t>
      </w:r>
      <w:r>
        <w:rPr>
          <w:rFonts w:hint="eastAsia" w:cs="微软雅黑" w:asciiTheme="minorEastAsia" w:hAnsiTheme="minorEastAsia" w:eastAsiaTheme="minorEastAsia"/>
          <w:sz w:val="21"/>
          <w:szCs w:val="21"/>
          <w:highlight w:val="none"/>
          <w:lang w:val="en-US" w:eastAsia="zh-CN"/>
        </w:rPr>
        <w:t>18947395929</w:t>
      </w:r>
      <w:r>
        <w:rPr>
          <w:rFonts w:hint="eastAsia" w:cs="微软雅黑" w:asciiTheme="minorEastAsia" w:hAnsiTheme="minorEastAsia" w:eastAsiaTheme="minorEastAsia"/>
          <w:sz w:val="21"/>
          <w:szCs w:val="21"/>
          <w:highlight w:val="none"/>
        </w:rPr>
        <w:t xml:space="preserve">     </w:t>
      </w:r>
    </w:p>
    <w:p>
      <w:pPr>
        <w:spacing w:line="460" w:lineRule="exact"/>
        <w:ind w:firstLine="480" w:firstLineChars="200"/>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lang w:val="en-US" w:eastAsia="zh-CN"/>
        </w:rPr>
        <w:t>招标</w:t>
      </w:r>
      <w:r>
        <w:rPr>
          <w:rFonts w:hint="eastAsia" w:asciiTheme="minorEastAsia" w:hAnsiTheme="minorEastAsia" w:eastAsiaTheme="minorEastAsia"/>
          <w:sz w:val="24"/>
          <w:szCs w:val="24"/>
          <w:highlight w:val="none"/>
        </w:rPr>
        <w:t>代理机构：中铁六局集团物资工贸有限公司</w:t>
      </w:r>
    </w:p>
    <w:p>
      <w:pPr>
        <w:spacing w:line="460" w:lineRule="exact"/>
        <w:ind w:firstLine="484" w:firstLineChars="202"/>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 xml:space="preserve">地    址：北京市海淀区万寿路2号          </w:t>
      </w:r>
    </w:p>
    <w:p>
      <w:pPr>
        <w:spacing w:line="460" w:lineRule="exact"/>
        <w:ind w:firstLine="484" w:firstLineChars="202"/>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 xml:space="preserve">联 系 人：柴  蕾  </w:t>
      </w:r>
    </w:p>
    <w:p>
      <w:pPr>
        <w:spacing w:line="460" w:lineRule="exact"/>
        <w:ind w:firstLine="484" w:firstLineChars="202"/>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电    话：010-52733250</w:t>
      </w:r>
    </w:p>
    <w:p>
      <w:pPr>
        <w:spacing w:line="460" w:lineRule="exact"/>
        <w:ind w:firstLine="484" w:firstLineChars="202"/>
        <w:rPr>
          <w:rFonts w:asciiTheme="minorEastAsia" w:hAnsiTheme="minorEastAsia" w:eastAsiaTheme="minorEastAsia"/>
          <w:sz w:val="24"/>
          <w:szCs w:val="24"/>
          <w:highlight w:val="none"/>
        </w:rPr>
      </w:pPr>
      <w:r>
        <w:rPr>
          <w:rFonts w:hint="eastAsia" w:asciiTheme="minorEastAsia" w:hAnsiTheme="minorEastAsia" w:eastAsiaTheme="minorEastAsia"/>
          <w:sz w:val="24"/>
          <w:szCs w:val="24"/>
          <w:highlight w:val="none"/>
        </w:rPr>
        <w:t>电子邮件：zbsyb52733250@163.com</w:t>
      </w:r>
    </w:p>
    <w:p>
      <w:pPr>
        <w:spacing w:line="440" w:lineRule="exact"/>
        <w:rPr>
          <w:rFonts w:asciiTheme="minorEastAsia" w:hAnsiTheme="minorEastAsia" w:eastAsiaTheme="minorEastAsia"/>
          <w:szCs w:val="21"/>
          <w:highlight w:val="none"/>
        </w:rPr>
      </w:pPr>
    </w:p>
    <w:p>
      <w:pPr>
        <w:widowControl/>
        <w:spacing w:line="440" w:lineRule="exact"/>
        <w:jc w:val="right"/>
        <w:rPr>
          <w:highlight w:val="none"/>
        </w:rPr>
        <w:sectPr>
          <w:footerReference r:id="rId5" w:type="default"/>
          <w:pgSz w:w="11906" w:h="16838"/>
          <w:pgMar w:top="1440" w:right="1083" w:bottom="1440" w:left="1083" w:header="851" w:footer="992" w:gutter="0"/>
          <w:pgNumType w:start="1"/>
          <w:cols w:space="425" w:num="1"/>
          <w:docGrid w:type="lines" w:linePitch="312" w:charSpace="0"/>
        </w:sectPr>
      </w:pPr>
      <w:r>
        <w:rPr>
          <w:rFonts w:hint="eastAsia" w:asciiTheme="minorEastAsia" w:hAnsiTheme="minorEastAsia" w:eastAsiaTheme="minorEastAsia"/>
          <w:szCs w:val="21"/>
          <w:highlight w:val="none"/>
        </w:rPr>
        <w:t>202</w:t>
      </w:r>
      <w:r>
        <w:rPr>
          <w:rFonts w:hint="eastAsia" w:asciiTheme="minorEastAsia" w:hAnsiTheme="minorEastAsia" w:eastAsiaTheme="minorEastAsia"/>
          <w:szCs w:val="21"/>
          <w:highlight w:val="none"/>
          <w:lang w:val="en-US" w:eastAsia="zh-CN"/>
        </w:rPr>
        <w:t>1</w:t>
      </w:r>
      <w:r>
        <w:rPr>
          <w:rFonts w:hint="eastAsia" w:asciiTheme="minorEastAsia" w:hAnsiTheme="minorEastAsia" w:eastAsiaTheme="minorEastAsia"/>
          <w:szCs w:val="21"/>
          <w:highlight w:val="none"/>
        </w:rPr>
        <w:t>年</w:t>
      </w:r>
      <w:r>
        <w:rPr>
          <w:rFonts w:hint="eastAsia" w:asciiTheme="minorEastAsia" w:hAnsiTheme="minorEastAsia" w:eastAsiaTheme="minorEastAsia"/>
          <w:szCs w:val="21"/>
          <w:highlight w:val="none"/>
          <w:lang w:val="en-US" w:eastAsia="zh-CN"/>
        </w:rPr>
        <w:t>9</w:t>
      </w:r>
      <w:r>
        <w:rPr>
          <w:rFonts w:hint="eastAsia" w:asciiTheme="minorEastAsia" w:hAnsiTheme="minorEastAsia" w:eastAsiaTheme="minorEastAsia"/>
          <w:szCs w:val="21"/>
          <w:highlight w:val="none"/>
        </w:rPr>
        <w:t>月</w:t>
      </w:r>
      <w:r>
        <w:rPr>
          <w:rFonts w:asciiTheme="minorEastAsia" w:hAnsiTheme="minorEastAsia" w:eastAsiaTheme="minorEastAsia"/>
          <w:szCs w:val="21"/>
          <w:highlight w:val="none"/>
        </w:rPr>
        <w:br w:type="page"/>
      </w:r>
    </w:p>
    <w:p>
      <w:pPr>
        <w:pStyle w:val="4"/>
        <w:spacing w:before="0"/>
        <w:rPr>
          <w:rFonts w:ascii="宋体" w:hAnsi="宋体" w:cs="楷体_GB2312"/>
          <w:sz w:val="28"/>
          <w:szCs w:val="32"/>
          <w:highlight w:val="none"/>
        </w:rPr>
      </w:pPr>
      <w:bookmarkStart w:id="8" w:name="_Toc533083973"/>
      <w:r>
        <w:rPr>
          <w:rFonts w:hint="eastAsia" w:ascii="宋体" w:hAnsi="宋体" w:cs="楷体_GB2312"/>
          <w:highlight w:val="none"/>
        </w:rPr>
        <w:t xml:space="preserve">附表1                                      </w:t>
      </w:r>
      <w:r>
        <w:rPr>
          <w:rFonts w:hint="eastAsia" w:ascii="宋体" w:hAnsi="宋体" w:eastAsia="宋体" w:cs="楷体_GB2312"/>
          <w:bCs w:val="0"/>
          <w:highlight w:val="none"/>
        </w:rPr>
        <w:t>招标公告附表</w:t>
      </w:r>
    </w:p>
    <w:bookmarkEnd w:id="8"/>
    <w:tbl>
      <w:tblPr>
        <w:tblStyle w:val="26"/>
        <w:tblW w:w="14160" w:type="dxa"/>
        <w:tblInd w:w="9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483"/>
        <w:gridCol w:w="1080"/>
        <w:gridCol w:w="1011"/>
        <w:gridCol w:w="1041"/>
        <w:gridCol w:w="725"/>
        <w:gridCol w:w="940"/>
        <w:gridCol w:w="6660"/>
        <w:gridCol w:w="1020"/>
        <w:gridCol w:w="120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595" w:hRule="atLeast"/>
        </w:trPr>
        <w:tc>
          <w:tcPr>
            <w:tcW w:w="483"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cs="Courier New" w:asciiTheme="minorEastAsia" w:hAnsiTheme="minorEastAsia" w:eastAsiaTheme="minorEastAsia"/>
                <w:sz w:val="18"/>
                <w:szCs w:val="18"/>
                <w:highlight w:val="none"/>
              </w:rPr>
            </w:pPr>
            <w:r>
              <w:rPr>
                <w:rFonts w:hint="eastAsia" w:cs="Courier New" w:asciiTheme="minorEastAsia" w:hAnsiTheme="minorEastAsia" w:eastAsiaTheme="minorEastAsia"/>
                <w:sz w:val="18"/>
                <w:szCs w:val="18"/>
                <w:highlight w:val="none"/>
              </w:rPr>
              <w:t>序号</w:t>
            </w:r>
          </w:p>
        </w:tc>
        <w:tc>
          <w:tcPr>
            <w:tcW w:w="108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cs="Courier New" w:asciiTheme="minorEastAsia" w:hAnsiTheme="minorEastAsia" w:eastAsiaTheme="minorEastAsia"/>
                <w:sz w:val="18"/>
                <w:szCs w:val="18"/>
                <w:highlight w:val="none"/>
              </w:rPr>
            </w:pPr>
            <w:r>
              <w:rPr>
                <w:rFonts w:hint="eastAsia" w:cs="Courier New" w:asciiTheme="minorEastAsia" w:hAnsiTheme="minorEastAsia" w:eastAsiaTheme="minorEastAsia"/>
                <w:sz w:val="18"/>
                <w:szCs w:val="18"/>
                <w:highlight w:val="none"/>
              </w:rPr>
              <w:t>物资名称</w:t>
            </w:r>
          </w:p>
        </w:tc>
        <w:tc>
          <w:tcPr>
            <w:tcW w:w="101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cs="Courier New" w:asciiTheme="minorEastAsia" w:hAnsiTheme="minorEastAsia" w:eastAsiaTheme="minorEastAsia"/>
                <w:sz w:val="18"/>
                <w:szCs w:val="18"/>
                <w:highlight w:val="none"/>
              </w:rPr>
            </w:pPr>
            <w:r>
              <w:rPr>
                <w:rFonts w:hint="eastAsia" w:cs="Courier New" w:asciiTheme="minorEastAsia" w:hAnsiTheme="minorEastAsia" w:eastAsiaTheme="minorEastAsia"/>
                <w:sz w:val="18"/>
                <w:szCs w:val="18"/>
                <w:highlight w:val="none"/>
              </w:rPr>
              <w:t>包件号</w:t>
            </w:r>
          </w:p>
        </w:tc>
        <w:tc>
          <w:tcPr>
            <w:tcW w:w="1041"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cs="Courier New" w:asciiTheme="minorEastAsia" w:hAnsiTheme="minorEastAsia" w:eastAsiaTheme="minorEastAsia"/>
                <w:sz w:val="18"/>
                <w:szCs w:val="18"/>
                <w:highlight w:val="none"/>
              </w:rPr>
            </w:pPr>
            <w:r>
              <w:rPr>
                <w:rFonts w:hint="eastAsia" w:cs="Courier New" w:asciiTheme="minorEastAsia" w:hAnsiTheme="minorEastAsia" w:eastAsiaTheme="minorEastAsia"/>
                <w:sz w:val="18"/>
                <w:szCs w:val="18"/>
                <w:highlight w:val="none"/>
              </w:rPr>
              <w:t>规格型号</w:t>
            </w:r>
          </w:p>
        </w:tc>
        <w:tc>
          <w:tcPr>
            <w:tcW w:w="725"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cs="Courier New" w:asciiTheme="minorEastAsia" w:hAnsiTheme="minorEastAsia" w:eastAsiaTheme="minorEastAsia"/>
                <w:sz w:val="18"/>
                <w:szCs w:val="18"/>
                <w:highlight w:val="none"/>
              </w:rPr>
            </w:pPr>
            <w:r>
              <w:rPr>
                <w:rFonts w:hint="eastAsia" w:cs="Courier New" w:asciiTheme="minorEastAsia" w:hAnsiTheme="minorEastAsia" w:eastAsiaTheme="minorEastAsia"/>
                <w:sz w:val="18"/>
                <w:szCs w:val="18"/>
                <w:highlight w:val="none"/>
              </w:rPr>
              <w:t>计量单位</w:t>
            </w:r>
          </w:p>
        </w:tc>
        <w:tc>
          <w:tcPr>
            <w:tcW w:w="94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cs="Courier New" w:asciiTheme="minorEastAsia" w:hAnsiTheme="minorEastAsia" w:eastAsiaTheme="minorEastAsia"/>
                <w:sz w:val="18"/>
                <w:szCs w:val="18"/>
                <w:highlight w:val="none"/>
              </w:rPr>
            </w:pPr>
            <w:r>
              <w:rPr>
                <w:rFonts w:hint="eastAsia" w:cs="Courier New" w:asciiTheme="minorEastAsia" w:hAnsiTheme="minorEastAsia" w:eastAsiaTheme="minorEastAsia"/>
                <w:sz w:val="18"/>
                <w:szCs w:val="18"/>
                <w:highlight w:val="none"/>
              </w:rPr>
              <w:t>包件数量</w:t>
            </w:r>
          </w:p>
        </w:tc>
        <w:tc>
          <w:tcPr>
            <w:tcW w:w="666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cs="Courier New" w:asciiTheme="minorEastAsia" w:hAnsiTheme="minorEastAsia" w:eastAsiaTheme="minorEastAsia"/>
                <w:sz w:val="18"/>
                <w:szCs w:val="18"/>
                <w:highlight w:val="none"/>
              </w:rPr>
            </w:pPr>
            <w:r>
              <w:rPr>
                <w:rFonts w:hint="eastAsia" w:cs="Courier New" w:asciiTheme="minorEastAsia" w:hAnsiTheme="minorEastAsia" w:eastAsiaTheme="minorEastAsia"/>
                <w:sz w:val="18"/>
                <w:szCs w:val="18"/>
                <w:highlight w:val="none"/>
              </w:rPr>
              <w:t>投标人资格条件</w:t>
            </w:r>
          </w:p>
        </w:tc>
        <w:tc>
          <w:tcPr>
            <w:tcW w:w="102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cs="Courier New" w:asciiTheme="minorEastAsia" w:hAnsiTheme="minorEastAsia" w:eastAsiaTheme="minorEastAsia"/>
                <w:sz w:val="18"/>
                <w:szCs w:val="18"/>
                <w:highlight w:val="none"/>
              </w:rPr>
            </w:pPr>
            <w:r>
              <w:rPr>
                <w:rFonts w:hint="eastAsia" w:cs="Courier New" w:asciiTheme="minorEastAsia" w:hAnsiTheme="minorEastAsia" w:eastAsiaTheme="minorEastAsia"/>
                <w:sz w:val="18"/>
                <w:szCs w:val="18"/>
                <w:highlight w:val="none"/>
              </w:rPr>
              <w:t>招标文件售价（元）</w:t>
            </w:r>
          </w:p>
        </w:tc>
        <w:tc>
          <w:tcPr>
            <w:tcW w:w="1200" w:type="dxa"/>
            <w:tcBorders>
              <w:top w:val="single" w:color="auto" w:sz="4" w:space="0"/>
              <w:left w:val="single" w:color="auto" w:sz="4" w:space="0"/>
              <w:bottom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cs="Courier New" w:asciiTheme="minorEastAsia" w:hAnsiTheme="minorEastAsia" w:eastAsiaTheme="minorEastAsia"/>
                <w:sz w:val="18"/>
                <w:szCs w:val="18"/>
                <w:highlight w:val="none"/>
              </w:rPr>
            </w:pPr>
            <w:r>
              <w:rPr>
                <w:rFonts w:hint="eastAsia" w:cs="Courier New" w:asciiTheme="minorEastAsia" w:hAnsiTheme="minorEastAsia" w:eastAsiaTheme="minorEastAsia"/>
                <w:sz w:val="18"/>
                <w:szCs w:val="18"/>
                <w:highlight w:val="none"/>
              </w:rPr>
              <w:t>投标保证金</w:t>
            </w:r>
          </w:p>
          <w:p>
            <w:pPr>
              <w:keepNext w:val="0"/>
              <w:keepLines w:val="0"/>
              <w:pageBreakBefore w:val="0"/>
              <w:kinsoku/>
              <w:wordWrap/>
              <w:overflowPunct/>
              <w:topLinePunct w:val="0"/>
              <w:autoSpaceDE/>
              <w:autoSpaceDN/>
              <w:bidi w:val="0"/>
              <w:adjustRightInd/>
              <w:snapToGrid/>
              <w:spacing w:line="240" w:lineRule="exact"/>
              <w:jc w:val="center"/>
              <w:textAlignment w:val="auto"/>
              <w:rPr>
                <w:rFonts w:cs="Courier New" w:asciiTheme="minorEastAsia" w:hAnsiTheme="minorEastAsia" w:eastAsiaTheme="minorEastAsia"/>
                <w:sz w:val="18"/>
                <w:szCs w:val="18"/>
                <w:highlight w:val="none"/>
              </w:rPr>
            </w:pPr>
            <w:r>
              <w:rPr>
                <w:rFonts w:hint="eastAsia" w:cs="Courier New" w:asciiTheme="minorEastAsia" w:hAnsiTheme="minorEastAsia" w:eastAsiaTheme="minorEastAsia"/>
                <w:sz w:val="18"/>
                <w:szCs w:val="18"/>
                <w:highlight w:val="none"/>
              </w:rPr>
              <w:t>（元）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3855" w:hRule="atLeast"/>
        </w:trPr>
        <w:tc>
          <w:tcPr>
            <w:tcW w:w="483" w:type="dxa"/>
            <w:tcBorders>
              <w:top w:val="single" w:color="auto" w:sz="4" w:space="0"/>
              <w:left w:val="single" w:color="auto" w:sz="4" w:space="0"/>
              <w:bottom w:val="single" w:color="auto" w:sz="4" w:space="0"/>
              <w:right w:val="single" w:color="auto" w:sz="4" w:space="0"/>
            </w:tcBorders>
            <w:vAlign w:val="center"/>
          </w:tcPr>
          <w:p>
            <w:pPr>
              <w:jc w:val="center"/>
              <w:rPr>
                <w:rStyle w:val="64"/>
                <w:rFonts w:hint="default" w:asciiTheme="minorEastAsia" w:hAnsiTheme="minorEastAsia" w:eastAsiaTheme="minorEastAsia"/>
                <w:sz w:val="18"/>
                <w:szCs w:val="18"/>
                <w:highlight w:val="none"/>
              </w:rPr>
            </w:pPr>
            <w:r>
              <w:rPr>
                <w:rFonts w:ascii="Courier New" w:hAnsi="Courier New" w:cs="Courier New"/>
                <w:kern w:val="0"/>
                <w:szCs w:val="21"/>
                <w:highlight w:val="none"/>
              </w:rPr>
              <w:t>1</w:t>
            </w:r>
          </w:p>
        </w:tc>
        <w:tc>
          <w:tcPr>
            <w:tcW w:w="1080" w:type="dxa"/>
            <w:tcBorders>
              <w:top w:val="single" w:color="auto" w:sz="4" w:space="0"/>
              <w:left w:val="single" w:color="auto" w:sz="4" w:space="0"/>
              <w:bottom w:val="single" w:color="auto" w:sz="4" w:space="0"/>
              <w:right w:val="single" w:color="auto" w:sz="4" w:space="0"/>
            </w:tcBorders>
            <w:vAlign w:val="center"/>
          </w:tcPr>
          <w:p>
            <w:pPr>
              <w:jc w:val="center"/>
              <w:rPr>
                <w:rStyle w:val="64"/>
                <w:rFonts w:hint="default" w:asciiTheme="minorEastAsia" w:hAnsiTheme="minorEastAsia" w:eastAsiaTheme="minorEastAsia"/>
                <w:sz w:val="18"/>
                <w:szCs w:val="18"/>
                <w:highlight w:val="none"/>
              </w:rPr>
            </w:pPr>
            <w:r>
              <w:rPr>
                <w:rFonts w:hint="eastAsia" w:ascii="宋体" w:hAnsi="宋体" w:cs="宋体"/>
                <w:sz w:val="22"/>
                <w:szCs w:val="22"/>
                <w:highlight w:val="none"/>
                <w:lang w:val="en-US" w:eastAsia="zh-CN"/>
              </w:rPr>
              <w:t>水泥</w:t>
            </w:r>
          </w:p>
        </w:tc>
        <w:tc>
          <w:tcPr>
            <w:tcW w:w="1011" w:type="dxa"/>
            <w:tcBorders>
              <w:top w:val="single" w:color="auto" w:sz="4" w:space="0"/>
              <w:left w:val="single" w:color="auto" w:sz="4" w:space="0"/>
              <w:bottom w:val="single" w:color="auto" w:sz="4" w:space="0"/>
              <w:right w:val="single" w:color="auto" w:sz="4" w:space="0"/>
            </w:tcBorders>
            <w:vAlign w:val="center"/>
          </w:tcPr>
          <w:p>
            <w:pPr>
              <w:jc w:val="center"/>
              <w:rPr>
                <w:rStyle w:val="64"/>
                <w:rFonts w:hint="default" w:asciiTheme="minorEastAsia" w:hAnsiTheme="minorEastAsia" w:eastAsiaTheme="minorEastAsia"/>
                <w:sz w:val="18"/>
                <w:szCs w:val="18"/>
                <w:highlight w:val="none"/>
              </w:rPr>
            </w:pPr>
            <w:r>
              <w:rPr>
                <w:rFonts w:hint="eastAsia" w:ascii="宋体" w:hAnsi="宋体" w:cs="宋体"/>
                <w:sz w:val="22"/>
                <w:szCs w:val="22"/>
                <w:highlight w:val="none"/>
                <w:lang w:val="en-US" w:eastAsia="zh-CN"/>
              </w:rPr>
              <w:t>SN</w:t>
            </w:r>
            <w:r>
              <w:rPr>
                <w:rFonts w:hint="eastAsia" w:ascii="宋体" w:hAnsi="宋体" w:cs="宋体"/>
                <w:sz w:val="22"/>
                <w:szCs w:val="22"/>
                <w:highlight w:val="none"/>
              </w:rPr>
              <w:t>-01</w:t>
            </w:r>
          </w:p>
        </w:tc>
        <w:tc>
          <w:tcPr>
            <w:tcW w:w="1041" w:type="dxa"/>
            <w:tcBorders>
              <w:top w:val="single" w:color="auto" w:sz="4" w:space="0"/>
              <w:left w:val="single" w:color="auto" w:sz="4" w:space="0"/>
              <w:bottom w:val="single" w:color="auto" w:sz="4" w:space="0"/>
              <w:right w:val="single" w:color="auto" w:sz="4" w:space="0"/>
            </w:tcBorders>
            <w:vAlign w:val="center"/>
          </w:tcPr>
          <w:p>
            <w:pPr>
              <w:jc w:val="center"/>
              <w:rPr>
                <w:rStyle w:val="64"/>
                <w:rFonts w:hint="default" w:asciiTheme="minorEastAsia" w:hAnsiTheme="minorEastAsia" w:eastAsiaTheme="minorEastAsia"/>
                <w:sz w:val="18"/>
                <w:szCs w:val="18"/>
                <w:highlight w:val="none"/>
                <w:lang w:val="en-US" w:eastAsia="zh-CN"/>
              </w:rPr>
            </w:pPr>
            <w:r>
              <w:rPr>
                <w:rFonts w:hint="eastAsia" w:ascii="宋体" w:hAnsi="宋体" w:cs="宋体"/>
                <w:sz w:val="22"/>
                <w:szCs w:val="22"/>
                <w:highlight w:val="none"/>
                <w:lang w:val="en-US" w:eastAsia="zh-CN"/>
              </w:rPr>
              <w:t>PO.42.5散装（低碱）</w:t>
            </w:r>
          </w:p>
        </w:tc>
        <w:tc>
          <w:tcPr>
            <w:tcW w:w="725" w:type="dxa"/>
            <w:tcBorders>
              <w:top w:val="single" w:color="auto" w:sz="4" w:space="0"/>
              <w:left w:val="single" w:color="auto" w:sz="4" w:space="0"/>
              <w:bottom w:val="single" w:color="auto" w:sz="4" w:space="0"/>
              <w:right w:val="single" w:color="auto" w:sz="4" w:space="0"/>
            </w:tcBorders>
            <w:vAlign w:val="center"/>
          </w:tcPr>
          <w:p>
            <w:pPr>
              <w:jc w:val="center"/>
              <w:rPr>
                <w:rStyle w:val="64"/>
                <w:rFonts w:hint="default" w:asciiTheme="minorEastAsia" w:hAnsiTheme="minorEastAsia" w:eastAsiaTheme="minorEastAsia"/>
                <w:sz w:val="18"/>
                <w:szCs w:val="18"/>
                <w:highlight w:val="none"/>
                <w:lang w:val="en-US" w:eastAsia="zh-CN"/>
              </w:rPr>
            </w:pPr>
            <w:r>
              <w:rPr>
                <w:rStyle w:val="64"/>
                <w:rFonts w:hint="eastAsia" w:asciiTheme="minorEastAsia" w:hAnsiTheme="minorEastAsia" w:eastAsiaTheme="minorEastAsia"/>
                <w:sz w:val="18"/>
                <w:szCs w:val="18"/>
                <w:highlight w:val="none"/>
                <w:lang w:val="en-US" w:eastAsia="zh-CN"/>
              </w:rPr>
              <w:t>吨</w:t>
            </w:r>
          </w:p>
        </w:tc>
        <w:tc>
          <w:tcPr>
            <w:tcW w:w="940" w:type="dxa"/>
            <w:tcBorders>
              <w:top w:val="single" w:color="auto" w:sz="4" w:space="0"/>
              <w:left w:val="single" w:color="auto" w:sz="4" w:space="0"/>
              <w:bottom w:val="single" w:color="auto" w:sz="4" w:space="0"/>
              <w:right w:val="single" w:color="auto" w:sz="4" w:space="0"/>
            </w:tcBorders>
            <w:vAlign w:val="center"/>
          </w:tcPr>
          <w:p>
            <w:pPr>
              <w:jc w:val="center"/>
              <w:rPr>
                <w:rStyle w:val="64"/>
                <w:rFonts w:hint="default" w:asciiTheme="minorEastAsia" w:hAnsiTheme="minorEastAsia" w:eastAsiaTheme="minorEastAsia"/>
                <w:sz w:val="18"/>
                <w:szCs w:val="18"/>
                <w:highlight w:val="none"/>
                <w:lang w:val="en-US" w:eastAsia="zh-CN"/>
              </w:rPr>
            </w:pPr>
            <w:r>
              <w:rPr>
                <w:rStyle w:val="64"/>
                <w:rFonts w:hint="eastAsia" w:asciiTheme="minorEastAsia" w:hAnsiTheme="minorEastAsia" w:eastAsiaTheme="minorEastAsia"/>
                <w:sz w:val="18"/>
                <w:szCs w:val="18"/>
                <w:highlight w:val="none"/>
                <w:lang w:val="en-US" w:eastAsia="zh-CN"/>
              </w:rPr>
              <w:t>76000</w:t>
            </w:r>
          </w:p>
        </w:tc>
        <w:tc>
          <w:tcPr>
            <w:tcW w:w="6660" w:type="dxa"/>
            <w:tcBorders>
              <w:top w:val="single" w:color="auto" w:sz="4" w:space="0"/>
              <w:left w:val="single" w:color="auto" w:sz="4" w:space="0"/>
              <w:right w:val="single" w:color="auto" w:sz="4" w:space="0"/>
            </w:tcBorders>
          </w:tcPr>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Times New Roman"/>
                <w:sz w:val="18"/>
                <w:szCs w:val="18"/>
                <w:highlight w:val="none"/>
              </w:rPr>
            </w:pPr>
            <w:r>
              <w:rPr>
                <w:rFonts w:hint="default" w:ascii="宋体" w:hAnsi="宋体" w:eastAsia="宋体" w:cs="Times New Roman"/>
                <w:sz w:val="18"/>
                <w:szCs w:val="18"/>
                <w:highlight w:val="none"/>
              </w:rPr>
              <w:t>1.营业范围要求：投标人须为在中华人民共和国境内工商注册登记的独立法人，并符合本次招标项目经营范围，能够独立承担民事责任的法人企业，具有招标物资生产能力的生产商</w:t>
            </w:r>
            <w:r>
              <w:rPr>
                <w:rFonts w:hint="eastAsia" w:ascii="宋体" w:hAnsi="宋体" w:eastAsia="宋体" w:cs="Times New Roman"/>
                <w:sz w:val="18"/>
                <w:szCs w:val="18"/>
                <w:highlight w:val="none"/>
                <w:lang w:val="en-US" w:eastAsia="zh-CN"/>
              </w:rPr>
              <w:t>或</w:t>
            </w:r>
            <w:r>
              <w:rPr>
                <w:rFonts w:hint="eastAsia" w:ascii="宋体" w:hAnsi="宋体"/>
                <w:sz w:val="18"/>
                <w:szCs w:val="18"/>
                <w:highlight w:val="none"/>
                <w:lang w:val="en-US" w:eastAsia="zh-CN"/>
              </w:rPr>
              <w:t>代理商</w:t>
            </w:r>
            <w:r>
              <w:rPr>
                <w:rFonts w:hint="default" w:ascii="宋体" w:hAnsi="宋体" w:eastAsia="宋体" w:cs="Times New Roman"/>
                <w:sz w:val="18"/>
                <w:szCs w:val="18"/>
                <w:highlight w:val="none"/>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Times New Roman"/>
                <w:sz w:val="18"/>
                <w:szCs w:val="18"/>
                <w:highlight w:val="none"/>
              </w:rPr>
            </w:pPr>
            <w:r>
              <w:rPr>
                <w:rFonts w:hint="eastAsia" w:ascii="宋体" w:hAnsi="宋体"/>
                <w:sz w:val="18"/>
                <w:szCs w:val="18"/>
                <w:highlight w:val="none"/>
              </w:rPr>
              <w:t>2</w:t>
            </w:r>
            <w:r>
              <w:rPr>
                <w:rFonts w:hint="eastAsia" w:ascii="宋体" w:hAnsi="宋体" w:eastAsia="宋体" w:cs="Times New Roman"/>
                <w:sz w:val="18"/>
                <w:szCs w:val="18"/>
                <w:highlight w:val="none"/>
              </w:rPr>
              <w:t>.生产能力要求：具有完整的生产线及配套设置，产品经检验合格符合国家及地方相关规定要求并能满足本包件物资设计要求，可提供物资采购增值税专用发票。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宋体" w:hAnsi="宋体" w:eastAsia="宋体" w:cs="Times New Roman"/>
                <w:sz w:val="18"/>
                <w:szCs w:val="18"/>
                <w:highlight w:val="none"/>
              </w:rPr>
            </w:pPr>
            <w:r>
              <w:rPr>
                <w:rFonts w:hint="eastAsia" w:ascii="宋体" w:hAnsi="宋体" w:eastAsia="宋体" w:cs="Times New Roman"/>
                <w:sz w:val="18"/>
                <w:szCs w:val="18"/>
                <w:highlight w:val="none"/>
              </w:rPr>
              <w:t>3.财务能力要求：</w:t>
            </w:r>
            <w:r>
              <w:rPr>
                <w:rFonts w:hint="eastAsia" w:ascii="宋体" w:hAnsi="宋体" w:eastAsia="宋体" w:cs="Times New Roman"/>
                <w:sz w:val="18"/>
                <w:szCs w:val="18"/>
                <w:highlight w:val="none"/>
                <w:lang w:val="en-US" w:eastAsia="zh-CN"/>
              </w:rPr>
              <w:t>供应商所供应水泥的生产厂注册资金需不小于2000万；</w:t>
            </w:r>
            <w:r>
              <w:rPr>
                <w:rFonts w:hint="eastAsia" w:ascii="宋体" w:hAnsi="宋体" w:cs="Times New Roman"/>
                <w:sz w:val="18"/>
                <w:szCs w:val="18"/>
                <w:highlight w:val="none"/>
                <w:lang w:val="en-US" w:eastAsia="zh-CN"/>
              </w:rPr>
              <w:t>代理商</w:t>
            </w:r>
            <w:r>
              <w:rPr>
                <w:rFonts w:hint="default" w:ascii="宋体" w:hAnsi="宋体" w:eastAsia="宋体" w:cs="Times New Roman"/>
                <w:sz w:val="18"/>
                <w:szCs w:val="18"/>
                <w:highlight w:val="none"/>
              </w:rPr>
              <w:t>注册资金</w:t>
            </w:r>
            <w:r>
              <w:rPr>
                <w:rFonts w:hint="eastAsia" w:ascii="宋体" w:hAnsi="宋体" w:eastAsia="宋体" w:cs="Times New Roman"/>
                <w:sz w:val="18"/>
                <w:szCs w:val="18"/>
                <w:highlight w:val="none"/>
                <w:lang w:val="en-US" w:eastAsia="zh-CN"/>
              </w:rPr>
              <w:t>500</w:t>
            </w:r>
            <w:r>
              <w:rPr>
                <w:rFonts w:hint="default" w:ascii="宋体" w:hAnsi="宋体" w:eastAsia="宋体" w:cs="Times New Roman"/>
                <w:sz w:val="18"/>
                <w:szCs w:val="18"/>
                <w:highlight w:val="none"/>
              </w:rPr>
              <w:t>万元人民币及以上，可提供物资采购增值税专用发票，且不受额度限制；具有良好的社会信誉和财务状况，出具近</w:t>
            </w:r>
            <w:r>
              <w:rPr>
                <w:rFonts w:hint="eastAsia" w:ascii="宋体" w:hAnsi="宋体" w:eastAsia="宋体" w:cs="Times New Roman"/>
                <w:sz w:val="18"/>
                <w:szCs w:val="18"/>
                <w:highlight w:val="none"/>
                <w:lang w:val="en-US" w:eastAsia="zh-CN"/>
              </w:rPr>
              <w:t>两年</w:t>
            </w:r>
            <w:r>
              <w:rPr>
                <w:rFonts w:hint="default" w:ascii="宋体" w:hAnsi="宋体" w:eastAsia="宋体" w:cs="Times New Roman"/>
                <w:sz w:val="18"/>
                <w:szCs w:val="18"/>
                <w:highlight w:val="none"/>
              </w:rPr>
              <w:t>（</w:t>
            </w:r>
            <w:r>
              <w:rPr>
                <w:rFonts w:hint="eastAsia" w:ascii="宋体" w:hAnsi="宋体" w:eastAsia="宋体" w:cs="Times New Roman"/>
                <w:sz w:val="18"/>
                <w:szCs w:val="18"/>
                <w:highlight w:val="none"/>
                <w:lang w:val="en-US" w:eastAsia="zh-CN"/>
              </w:rPr>
              <w:t>2019、</w:t>
            </w:r>
            <w:r>
              <w:rPr>
                <w:rFonts w:hint="default" w:ascii="宋体" w:hAnsi="宋体" w:eastAsia="宋体" w:cs="Times New Roman"/>
                <w:sz w:val="18"/>
                <w:szCs w:val="18"/>
                <w:highlight w:val="none"/>
              </w:rPr>
              <w:t>20</w:t>
            </w:r>
            <w:r>
              <w:rPr>
                <w:rFonts w:hint="eastAsia" w:ascii="宋体" w:hAnsi="宋体" w:eastAsia="宋体" w:cs="Times New Roman"/>
                <w:sz w:val="18"/>
                <w:szCs w:val="18"/>
                <w:highlight w:val="none"/>
                <w:lang w:val="en-US" w:eastAsia="zh-CN"/>
              </w:rPr>
              <w:t>20</w:t>
            </w:r>
            <w:r>
              <w:rPr>
                <w:rFonts w:hint="default" w:ascii="宋体" w:hAnsi="宋体" w:eastAsia="宋体" w:cs="Times New Roman"/>
                <w:sz w:val="18"/>
                <w:szCs w:val="18"/>
                <w:highlight w:val="none"/>
              </w:rPr>
              <w:t>年）真实有效的财务报表（包括但不限于资产负债表、现金流量表等），具有良好的财务状况。新注册成立的公司可提供近一期财务报表。</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default" w:ascii="宋体" w:hAnsi="宋体" w:eastAsia="宋体" w:cs="Times New Roman"/>
                <w:sz w:val="18"/>
                <w:szCs w:val="18"/>
                <w:highlight w:val="none"/>
                <w:lang w:val="en-US" w:eastAsia="zh-CN"/>
              </w:rPr>
            </w:pPr>
            <w:r>
              <w:rPr>
                <w:rFonts w:hint="eastAsia" w:ascii="宋体" w:hAnsi="宋体" w:eastAsia="宋体" w:cs="Times New Roman"/>
                <w:sz w:val="18"/>
                <w:szCs w:val="18"/>
                <w:highlight w:val="none"/>
              </w:rPr>
              <w:t>4.质量保证能力要求：</w:t>
            </w:r>
            <w:r>
              <w:rPr>
                <w:rFonts w:hint="default" w:ascii="宋体" w:hAnsi="宋体" w:eastAsia="宋体" w:cs="Times New Roman"/>
                <w:sz w:val="18"/>
                <w:szCs w:val="18"/>
                <w:highlight w:val="none"/>
              </w:rPr>
              <w:t>产品符合国家或行业现行质量标准，提供</w:t>
            </w:r>
            <w:r>
              <w:rPr>
                <w:rFonts w:hint="eastAsia" w:ascii="宋体" w:hAnsi="宋体" w:eastAsia="宋体" w:cs="Times New Roman"/>
                <w:sz w:val="18"/>
                <w:szCs w:val="18"/>
                <w:highlight w:val="none"/>
              </w:rPr>
              <w:t>近三年（201</w:t>
            </w:r>
            <w:r>
              <w:rPr>
                <w:rFonts w:hint="eastAsia" w:ascii="宋体" w:hAnsi="宋体" w:eastAsia="宋体" w:cs="Times New Roman"/>
                <w:sz w:val="18"/>
                <w:szCs w:val="18"/>
                <w:highlight w:val="none"/>
                <w:lang w:val="en-US" w:eastAsia="zh-CN"/>
              </w:rPr>
              <w:t>9</w:t>
            </w:r>
            <w:r>
              <w:rPr>
                <w:rFonts w:hint="eastAsia" w:ascii="宋体" w:hAnsi="宋体" w:eastAsia="宋体" w:cs="Times New Roman"/>
                <w:sz w:val="18"/>
                <w:szCs w:val="18"/>
                <w:highlight w:val="none"/>
              </w:rPr>
              <w:t>、20</w:t>
            </w:r>
            <w:r>
              <w:rPr>
                <w:rFonts w:hint="eastAsia" w:ascii="宋体" w:hAnsi="宋体" w:eastAsia="宋体" w:cs="Times New Roman"/>
                <w:sz w:val="18"/>
                <w:szCs w:val="18"/>
                <w:highlight w:val="none"/>
                <w:lang w:val="en-US" w:eastAsia="zh-CN"/>
              </w:rPr>
              <w:t>20</w:t>
            </w:r>
            <w:r>
              <w:rPr>
                <w:rFonts w:hint="eastAsia" w:ascii="宋体" w:hAnsi="宋体" w:eastAsia="宋体" w:cs="Times New Roman"/>
                <w:sz w:val="18"/>
                <w:szCs w:val="18"/>
                <w:highlight w:val="none"/>
              </w:rPr>
              <w:t>、202</w:t>
            </w:r>
            <w:r>
              <w:rPr>
                <w:rFonts w:hint="eastAsia" w:ascii="宋体" w:hAnsi="宋体" w:eastAsia="宋体" w:cs="Times New Roman"/>
                <w:sz w:val="18"/>
                <w:szCs w:val="18"/>
                <w:highlight w:val="none"/>
                <w:lang w:val="en-US" w:eastAsia="zh-CN"/>
              </w:rPr>
              <w:t>1</w:t>
            </w:r>
            <w:r>
              <w:rPr>
                <w:rFonts w:hint="eastAsia" w:ascii="宋体" w:hAnsi="宋体" w:eastAsia="宋体" w:cs="Times New Roman"/>
                <w:sz w:val="18"/>
                <w:szCs w:val="18"/>
                <w:highlight w:val="none"/>
              </w:rPr>
              <w:t>年）由省、部级及以上</w:t>
            </w:r>
            <w:r>
              <w:rPr>
                <w:rFonts w:hint="eastAsia" w:ascii="宋体" w:hAnsi="宋体" w:eastAsia="宋体" w:cs="Times New Roman"/>
                <w:sz w:val="18"/>
                <w:szCs w:val="18"/>
                <w:highlight w:val="none"/>
                <w:lang w:val="en-US" w:eastAsia="zh-CN"/>
              </w:rPr>
              <w:t>专业检测</w:t>
            </w:r>
            <w:r>
              <w:rPr>
                <w:rFonts w:hint="eastAsia" w:ascii="宋体" w:hAnsi="宋体" w:eastAsia="宋体" w:cs="Times New Roman"/>
                <w:sz w:val="18"/>
                <w:szCs w:val="18"/>
                <w:highlight w:val="none"/>
              </w:rPr>
              <w:t>机构出具的投标物资合格检验报告</w:t>
            </w:r>
            <w:r>
              <w:rPr>
                <w:rFonts w:hint="eastAsia" w:ascii="宋体" w:hAnsi="宋体" w:eastAsia="宋体" w:cs="Times New Roman"/>
                <w:sz w:val="18"/>
                <w:szCs w:val="18"/>
                <w:highlight w:val="none"/>
                <w:lang w:eastAsia="zh-CN"/>
              </w:rPr>
              <w:t>。</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Times New Roman"/>
                <w:sz w:val="18"/>
                <w:szCs w:val="18"/>
                <w:highlight w:val="none"/>
              </w:rPr>
            </w:pPr>
            <w:r>
              <w:rPr>
                <w:rFonts w:hint="eastAsia" w:ascii="宋体" w:hAnsi="宋体" w:eastAsia="宋体" w:cs="Times New Roman"/>
                <w:sz w:val="18"/>
                <w:szCs w:val="18"/>
                <w:highlight w:val="none"/>
              </w:rPr>
              <w:t>5.供货业绩要求：投标人具有至少</w:t>
            </w:r>
            <w:r>
              <w:rPr>
                <w:rFonts w:hint="eastAsia" w:ascii="宋体" w:hAnsi="宋体" w:eastAsia="宋体" w:cs="Times New Roman"/>
                <w:sz w:val="18"/>
                <w:szCs w:val="18"/>
                <w:highlight w:val="none"/>
                <w:lang w:val="en-US" w:eastAsia="zh-CN"/>
              </w:rPr>
              <w:t>一</w:t>
            </w:r>
            <w:r>
              <w:rPr>
                <w:rFonts w:hint="eastAsia" w:ascii="宋体" w:hAnsi="宋体" w:eastAsia="宋体" w:cs="Times New Roman"/>
                <w:sz w:val="18"/>
                <w:szCs w:val="18"/>
                <w:highlight w:val="none"/>
              </w:rPr>
              <w:t>份近</w:t>
            </w:r>
            <w:r>
              <w:rPr>
                <w:rFonts w:hint="eastAsia" w:ascii="宋体" w:hAnsi="宋体" w:eastAsia="宋体" w:cs="Times New Roman"/>
                <w:sz w:val="18"/>
                <w:szCs w:val="18"/>
                <w:highlight w:val="none"/>
                <w:lang w:val="en-US" w:eastAsia="zh-CN"/>
              </w:rPr>
              <w:t>三</w:t>
            </w:r>
            <w:r>
              <w:rPr>
                <w:rFonts w:hint="eastAsia" w:ascii="宋体" w:hAnsi="宋体" w:eastAsia="宋体" w:cs="Times New Roman"/>
                <w:sz w:val="18"/>
                <w:szCs w:val="18"/>
                <w:highlight w:val="none"/>
              </w:rPr>
              <w:t>年</w:t>
            </w:r>
            <w:r>
              <w:rPr>
                <w:rFonts w:hint="eastAsia" w:ascii="宋体" w:hAnsi="宋体" w:eastAsia="宋体" w:cs="Times New Roman"/>
                <w:sz w:val="18"/>
                <w:szCs w:val="18"/>
                <w:highlight w:val="none"/>
                <w:lang w:eastAsia="zh-CN"/>
              </w:rPr>
              <w:t>（</w:t>
            </w:r>
            <w:r>
              <w:rPr>
                <w:rFonts w:hint="eastAsia" w:ascii="宋体" w:hAnsi="宋体" w:eastAsia="宋体" w:cs="Times New Roman"/>
                <w:sz w:val="18"/>
                <w:szCs w:val="18"/>
                <w:highlight w:val="none"/>
                <w:lang w:val="en-US" w:eastAsia="zh-CN"/>
              </w:rPr>
              <w:t>2019、2020、2021</w:t>
            </w:r>
            <w:r>
              <w:rPr>
                <w:rFonts w:hint="eastAsia" w:ascii="宋体" w:hAnsi="宋体" w:eastAsia="宋体" w:cs="Times New Roman"/>
                <w:sz w:val="18"/>
                <w:szCs w:val="18"/>
                <w:highlight w:val="none"/>
                <w:lang w:eastAsia="zh-CN"/>
              </w:rPr>
              <w:t>）</w:t>
            </w:r>
            <w:r>
              <w:rPr>
                <w:rFonts w:hint="eastAsia" w:ascii="宋体" w:hAnsi="宋体" w:eastAsia="宋体" w:cs="Times New Roman"/>
                <w:sz w:val="18"/>
                <w:szCs w:val="18"/>
                <w:highlight w:val="none"/>
              </w:rPr>
              <w:t>内同类物资的供货业绩相关证明材料（含合同协议书）。</w:t>
            </w:r>
          </w:p>
          <w:p>
            <w:pPr>
              <w:keepNext w:val="0"/>
              <w:keepLines w:val="0"/>
              <w:pageBreakBefore w:val="0"/>
              <w:widowControl w:val="0"/>
              <w:kinsoku/>
              <w:wordWrap/>
              <w:overflowPunct/>
              <w:topLinePunct w:val="0"/>
              <w:autoSpaceDE/>
              <w:autoSpaceDN/>
              <w:bidi w:val="0"/>
              <w:adjustRightInd/>
              <w:snapToGrid/>
              <w:spacing w:line="300" w:lineRule="exact"/>
              <w:jc w:val="left"/>
              <w:textAlignment w:val="auto"/>
              <w:rPr>
                <w:rFonts w:hint="eastAsia" w:ascii="宋体" w:hAnsi="宋体" w:eastAsia="宋体" w:cs="Times New Roman"/>
                <w:sz w:val="18"/>
                <w:szCs w:val="18"/>
                <w:highlight w:val="none"/>
              </w:rPr>
            </w:pPr>
            <w:r>
              <w:rPr>
                <w:rFonts w:hint="eastAsia" w:ascii="宋体" w:hAnsi="宋体" w:eastAsia="宋体" w:cs="Times New Roman"/>
                <w:sz w:val="18"/>
                <w:szCs w:val="18"/>
                <w:highlight w:val="none"/>
              </w:rPr>
              <w:t>6.履约信用要求：投标人必须具有良好的社会信誉，最近三年内没有与骗取合同有关的犯罪或严重违法行为而引起的诉讼和仲裁；近三年不曾在合同中严重违约；近三年经营活动中无严重违法失信记录；财产被接管或冻结，企业未处于禁止或取消投标状态；未被</w:t>
            </w:r>
            <w:r>
              <w:rPr>
                <w:rFonts w:hint="eastAsia" w:ascii="宋体" w:hAnsi="宋体" w:eastAsia="宋体" w:cs="Times New Roman"/>
                <w:sz w:val="18"/>
                <w:szCs w:val="18"/>
                <w:highlight w:val="none"/>
                <w:lang w:val="en-US" w:eastAsia="zh-CN"/>
              </w:rPr>
              <w:t>中国国家铁路集团有限公司</w:t>
            </w:r>
            <w:r>
              <w:rPr>
                <w:rFonts w:hint="eastAsia" w:ascii="宋体" w:hAnsi="宋体" w:eastAsia="宋体" w:cs="Times New Roman"/>
                <w:sz w:val="18"/>
                <w:szCs w:val="18"/>
                <w:highlight w:val="none"/>
              </w:rPr>
              <w:t>、中国中铁股份有限公司、中铁六局列入“限制交易供应商名单”、“不合格供应商名单”或“供应商黑名单”。不在国家企业信用信息公示系统严重违反失信企业名单中，不在中国执行信息公开网的失信被执行人名单内，不在中国中铁股份有限公司、中铁六局集团有限公司的限制交易期内。同时具有履行合同的能力和良好的履约记录。</w:t>
            </w:r>
          </w:p>
          <w:p>
            <w:pPr>
              <w:keepNext w:val="0"/>
              <w:keepLines w:val="0"/>
              <w:pageBreakBefore w:val="0"/>
              <w:widowControl w:val="0"/>
              <w:kinsoku/>
              <w:wordWrap/>
              <w:overflowPunct/>
              <w:topLinePunct w:val="0"/>
              <w:autoSpaceDE/>
              <w:autoSpaceDN/>
              <w:bidi w:val="0"/>
              <w:adjustRightInd/>
              <w:snapToGrid/>
              <w:spacing w:line="300" w:lineRule="exact"/>
              <w:textAlignment w:val="auto"/>
              <w:rPr>
                <w:rFonts w:hint="eastAsia" w:ascii="宋体" w:hAnsi="宋体"/>
                <w:sz w:val="18"/>
                <w:szCs w:val="18"/>
                <w:highlight w:val="none"/>
              </w:rPr>
            </w:pPr>
            <w:r>
              <w:rPr>
                <w:rFonts w:hint="eastAsia" w:ascii="宋体" w:hAnsi="宋体" w:eastAsia="宋体" w:cs="Times New Roman"/>
                <w:sz w:val="18"/>
                <w:szCs w:val="18"/>
                <w:highlight w:val="none"/>
              </w:rPr>
              <w:t>7.其他要求：</w:t>
            </w:r>
            <w:r>
              <w:rPr>
                <w:rStyle w:val="64"/>
                <w:rFonts w:hint="eastAsia" w:asciiTheme="minorEastAsia" w:hAnsiTheme="minorEastAsia" w:eastAsiaTheme="minorEastAsia"/>
                <w:b/>
                <w:bCs/>
                <w:sz w:val="18"/>
                <w:szCs w:val="18"/>
                <w:highlight w:val="none"/>
                <w:lang w:val="en-US" w:eastAsia="zh-CN"/>
              </w:rPr>
              <w:t>本次招标不接受联合体投标。如果代理商与所供应水泥的生产商同时投标，代理商报价将不被接受。</w:t>
            </w:r>
          </w:p>
        </w:tc>
        <w:tc>
          <w:tcPr>
            <w:tcW w:w="102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cs="Courier New" w:asciiTheme="minorEastAsia" w:hAnsiTheme="minorEastAsia" w:eastAsiaTheme="minorEastAsia"/>
                <w:sz w:val="18"/>
                <w:szCs w:val="18"/>
                <w:highlight w:val="none"/>
                <w:lang w:val="en-US" w:eastAsia="zh-CN"/>
              </w:rPr>
            </w:pPr>
            <w:r>
              <w:rPr>
                <w:rFonts w:hint="eastAsia" w:cs="Courier New" w:asciiTheme="minorEastAsia" w:hAnsiTheme="minorEastAsia" w:eastAsiaTheme="minorEastAsia"/>
                <w:sz w:val="18"/>
                <w:szCs w:val="18"/>
                <w:highlight w:val="none"/>
                <w:lang w:val="en-US" w:eastAsia="zh-CN"/>
              </w:rPr>
              <w:t>500</w:t>
            </w:r>
          </w:p>
        </w:tc>
        <w:tc>
          <w:tcPr>
            <w:tcW w:w="1200" w:type="dxa"/>
            <w:tcBorders>
              <w:top w:val="single" w:color="auto" w:sz="4" w:space="0"/>
              <w:left w:val="single" w:color="auto" w:sz="4" w:space="0"/>
              <w:right w:val="single" w:color="auto" w:sz="4" w:space="0"/>
            </w:tcBorders>
            <w:vAlign w:val="center"/>
          </w:tcPr>
          <w:p>
            <w:pPr>
              <w:keepNext w:val="0"/>
              <w:keepLines w:val="0"/>
              <w:pageBreakBefore w:val="0"/>
              <w:kinsoku/>
              <w:wordWrap/>
              <w:overflowPunct/>
              <w:topLinePunct w:val="0"/>
              <w:autoSpaceDE/>
              <w:autoSpaceDN/>
              <w:bidi w:val="0"/>
              <w:adjustRightInd/>
              <w:snapToGrid/>
              <w:spacing w:line="240" w:lineRule="exact"/>
              <w:jc w:val="center"/>
              <w:textAlignment w:val="auto"/>
              <w:rPr>
                <w:rFonts w:hint="default" w:cs="Courier New" w:asciiTheme="minorEastAsia" w:hAnsiTheme="minorEastAsia" w:eastAsiaTheme="minorEastAsia"/>
                <w:sz w:val="18"/>
                <w:szCs w:val="18"/>
                <w:highlight w:val="none"/>
                <w:lang w:val="en-US"/>
              </w:rPr>
            </w:pPr>
            <w:r>
              <w:rPr>
                <w:rFonts w:hint="eastAsia" w:cs="Courier New" w:asciiTheme="minorEastAsia" w:hAnsiTheme="minorEastAsia" w:eastAsiaTheme="minorEastAsia"/>
                <w:sz w:val="18"/>
                <w:szCs w:val="18"/>
                <w:highlight w:val="none"/>
                <w:lang w:val="en-US" w:eastAsia="zh-CN"/>
              </w:rPr>
              <w:t>50000</w:t>
            </w:r>
          </w:p>
        </w:tc>
      </w:tr>
    </w:tbl>
    <w:p>
      <w:pPr>
        <w:jc w:val="left"/>
        <w:rPr>
          <w:highlight w:val="none"/>
        </w:rPr>
        <w:sectPr>
          <w:footerReference r:id="rId6" w:type="default"/>
          <w:pgSz w:w="16838" w:h="11906" w:orient="landscape"/>
          <w:pgMar w:top="1083" w:right="1440" w:bottom="1083" w:left="1440" w:header="851" w:footer="992" w:gutter="0"/>
          <w:pgNumType w:start="1"/>
          <w:cols w:space="425" w:num="1"/>
          <w:docGrid w:type="linesAndChars" w:linePitch="312" w:charSpace="0"/>
        </w:sectPr>
      </w:pPr>
    </w:p>
    <w:p>
      <w:pPr>
        <w:rPr>
          <w:rFonts w:ascii="宋体" w:hAnsi="宋体" w:cs="宋体"/>
          <w:highlight w:val="none"/>
        </w:rPr>
      </w:pPr>
      <w:bookmarkStart w:id="9" w:name="_Toc475107917"/>
      <w:r>
        <w:rPr>
          <w:rStyle w:val="50"/>
          <w:rFonts w:hint="eastAsia"/>
          <w:highlight w:val="none"/>
        </w:rPr>
        <w:t>附表2</w:t>
      </w:r>
      <w:bookmarkEnd w:id="9"/>
      <w:r>
        <w:rPr>
          <w:rFonts w:hint="eastAsia" w:ascii="宋体" w:hAnsi="宋体"/>
          <w:highlight w:val="none"/>
        </w:rPr>
        <w:t>：</w:t>
      </w:r>
    </w:p>
    <w:p>
      <w:pPr>
        <w:jc w:val="center"/>
        <w:rPr>
          <w:rFonts w:ascii="宋体" w:hAnsi="宋体"/>
          <w:b/>
          <w:sz w:val="28"/>
          <w:szCs w:val="28"/>
          <w:highlight w:val="none"/>
        </w:rPr>
      </w:pPr>
      <w:r>
        <w:rPr>
          <w:rFonts w:hint="eastAsia" w:ascii="宋体" w:hAnsi="宋体"/>
          <w:b/>
          <w:sz w:val="28"/>
          <w:szCs w:val="28"/>
          <w:highlight w:val="none"/>
        </w:rPr>
        <w:t>投标申请表</w:t>
      </w:r>
    </w:p>
    <w:p>
      <w:pPr>
        <w:widowControl/>
        <w:spacing w:line="440" w:lineRule="exact"/>
        <w:ind w:firstLine="420" w:firstLineChars="200"/>
        <w:jc w:val="left"/>
        <w:rPr>
          <w:rFonts w:hint="eastAsia" w:ascii="宋体" w:hAnsi="宋体" w:eastAsia="宋体" w:cs="宋体"/>
          <w:bCs/>
          <w:highlight w:val="none"/>
          <w:lang w:eastAsia="zh-CN"/>
        </w:rPr>
      </w:pPr>
      <w:r>
        <w:rPr>
          <w:rFonts w:hint="eastAsia" w:ascii="宋体" w:hAnsi="宋体" w:cs="宋体"/>
          <w:bCs/>
          <w:highlight w:val="none"/>
        </w:rPr>
        <w:t>招标编号：</w:t>
      </w:r>
      <w:r>
        <w:rPr>
          <w:rFonts w:hint="eastAsia" w:asciiTheme="minorEastAsia" w:hAnsiTheme="minorEastAsia" w:eastAsiaTheme="minorEastAsia"/>
          <w:szCs w:val="21"/>
          <w:highlight w:val="none"/>
          <w:u w:val="single"/>
          <w:lang w:eastAsia="zh-CN"/>
        </w:rPr>
        <w:t>HHJTTLWZ-DL-2021-1232-03</w:t>
      </w:r>
    </w:p>
    <w:tbl>
      <w:tblPr>
        <w:tblStyle w:val="26"/>
        <w:tblW w:w="8759" w:type="dxa"/>
        <w:jc w:val="center"/>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Layout w:type="fixed"/>
        <w:tblCellMar>
          <w:top w:w="0" w:type="dxa"/>
          <w:left w:w="108" w:type="dxa"/>
          <w:bottom w:w="0" w:type="dxa"/>
          <w:right w:w="108" w:type="dxa"/>
        </w:tblCellMar>
      </w:tblPr>
      <w:tblGrid>
        <w:gridCol w:w="2341"/>
        <w:gridCol w:w="2494"/>
        <w:gridCol w:w="1729"/>
        <w:gridCol w:w="2195"/>
      </w:tblGrid>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PrEx>
        <w:trPr>
          <w:trHeight w:val="539" w:hRule="atLeast"/>
          <w:jc w:val="center"/>
        </w:trPr>
        <w:tc>
          <w:tcPr>
            <w:tcW w:w="2341" w:type="dxa"/>
            <w:tcBorders>
              <w:top w:val="single" w:color="auto" w:sz="8" w:space="0"/>
            </w:tcBorders>
            <w:vAlign w:val="center"/>
          </w:tcPr>
          <w:p>
            <w:pPr>
              <w:widowControl/>
              <w:spacing w:line="440" w:lineRule="exact"/>
              <w:jc w:val="center"/>
              <w:rPr>
                <w:rFonts w:ascii="宋体" w:hAnsi="宋体" w:cs="宋体"/>
                <w:kern w:val="0"/>
                <w:highlight w:val="none"/>
              </w:rPr>
            </w:pPr>
            <w:r>
              <w:rPr>
                <w:rFonts w:hint="eastAsia" w:ascii="宋体" w:hAnsi="宋体" w:cs="宋体"/>
                <w:kern w:val="0"/>
                <w:highlight w:val="none"/>
              </w:rPr>
              <w:t>投标项目名称</w:t>
            </w:r>
          </w:p>
        </w:tc>
        <w:tc>
          <w:tcPr>
            <w:tcW w:w="6418" w:type="dxa"/>
            <w:gridSpan w:val="3"/>
            <w:tcBorders>
              <w:top w:val="single" w:color="auto" w:sz="8" w:space="0"/>
            </w:tcBorders>
            <w:vAlign w:val="center"/>
          </w:tcPr>
          <w:p>
            <w:pPr>
              <w:widowControl/>
              <w:spacing w:line="440" w:lineRule="exact"/>
              <w:rPr>
                <w:rFonts w:ascii="宋体" w:hAnsi="宋体" w:cs="宋体"/>
                <w:kern w:val="0"/>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39" w:hRule="atLeast"/>
          <w:jc w:val="center"/>
        </w:trPr>
        <w:tc>
          <w:tcPr>
            <w:tcW w:w="2341" w:type="dxa"/>
            <w:tcBorders>
              <w:top w:val="single" w:color="auto" w:sz="8" w:space="0"/>
            </w:tcBorders>
            <w:vAlign w:val="center"/>
          </w:tcPr>
          <w:p>
            <w:pPr>
              <w:widowControl/>
              <w:spacing w:line="440" w:lineRule="exact"/>
              <w:jc w:val="center"/>
              <w:rPr>
                <w:rFonts w:ascii="宋体" w:hAnsi="宋体" w:cs="宋体"/>
                <w:kern w:val="0"/>
                <w:highlight w:val="none"/>
              </w:rPr>
            </w:pPr>
            <w:r>
              <w:rPr>
                <w:rFonts w:hint="eastAsia" w:ascii="宋体" w:hAnsi="宋体" w:cs="宋体"/>
                <w:kern w:val="0"/>
                <w:highlight w:val="none"/>
              </w:rPr>
              <w:t>投标人名称</w:t>
            </w:r>
          </w:p>
        </w:tc>
        <w:tc>
          <w:tcPr>
            <w:tcW w:w="6418" w:type="dxa"/>
            <w:gridSpan w:val="3"/>
            <w:tcBorders>
              <w:top w:val="single" w:color="auto" w:sz="8" w:space="0"/>
            </w:tcBorders>
            <w:vAlign w:val="center"/>
          </w:tcPr>
          <w:p>
            <w:pPr>
              <w:widowControl/>
              <w:spacing w:line="440" w:lineRule="exact"/>
              <w:rPr>
                <w:rFonts w:ascii="宋体" w:hAnsi="宋体" w:cs="宋体"/>
                <w:kern w:val="0"/>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2341" w:type="dxa"/>
            <w:vAlign w:val="center"/>
          </w:tcPr>
          <w:p>
            <w:pPr>
              <w:widowControl/>
              <w:spacing w:line="440" w:lineRule="exact"/>
              <w:jc w:val="center"/>
              <w:rPr>
                <w:rFonts w:ascii="宋体" w:hAnsi="宋体" w:cs="宋体"/>
                <w:kern w:val="0"/>
                <w:highlight w:val="none"/>
              </w:rPr>
            </w:pPr>
            <w:r>
              <w:rPr>
                <w:rFonts w:hint="eastAsia" w:ascii="宋体" w:hAnsi="宋体" w:cs="宋体"/>
                <w:kern w:val="0"/>
                <w:highlight w:val="none"/>
              </w:rPr>
              <w:t>投标人联系地址</w:t>
            </w:r>
          </w:p>
        </w:tc>
        <w:tc>
          <w:tcPr>
            <w:tcW w:w="6418" w:type="dxa"/>
            <w:gridSpan w:val="3"/>
            <w:vAlign w:val="center"/>
          </w:tcPr>
          <w:p>
            <w:pPr>
              <w:widowControl/>
              <w:spacing w:line="440" w:lineRule="exact"/>
              <w:rPr>
                <w:rFonts w:ascii="宋体" w:hAnsi="宋体" w:cs="宋体"/>
                <w:kern w:val="0"/>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461" w:hRule="atLeast"/>
          <w:jc w:val="center"/>
        </w:trPr>
        <w:tc>
          <w:tcPr>
            <w:tcW w:w="2341" w:type="dxa"/>
            <w:vAlign w:val="center"/>
          </w:tcPr>
          <w:p>
            <w:pPr>
              <w:widowControl/>
              <w:spacing w:line="440" w:lineRule="exact"/>
              <w:jc w:val="center"/>
              <w:rPr>
                <w:rFonts w:ascii="宋体" w:hAnsi="宋体" w:cs="宋体"/>
                <w:kern w:val="0"/>
                <w:highlight w:val="none"/>
              </w:rPr>
            </w:pPr>
            <w:r>
              <w:rPr>
                <w:rFonts w:hint="eastAsia" w:ascii="宋体" w:hAnsi="宋体" w:cs="宋体"/>
                <w:kern w:val="0"/>
                <w:highlight w:val="none"/>
              </w:rPr>
              <w:t>法定代表人</w:t>
            </w:r>
          </w:p>
        </w:tc>
        <w:tc>
          <w:tcPr>
            <w:tcW w:w="2494" w:type="dxa"/>
            <w:vAlign w:val="center"/>
          </w:tcPr>
          <w:p>
            <w:pPr>
              <w:widowControl/>
              <w:spacing w:line="440" w:lineRule="exact"/>
              <w:rPr>
                <w:rFonts w:ascii="宋体" w:hAnsi="宋体" w:cs="宋体"/>
                <w:kern w:val="0"/>
                <w:highlight w:val="none"/>
              </w:rPr>
            </w:pPr>
          </w:p>
        </w:tc>
        <w:tc>
          <w:tcPr>
            <w:tcW w:w="1729" w:type="dxa"/>
            <w:vAlign w:val="center"/>
          </w:tcPr>
          <w:p>
            <w:pPr>
              <w:widowControl/>
              <w:spacing w:line="440" w:lineRule="exact"/>
              <w:jc w:val="center"/>
              <w:rPr>
                <w:rFonts w:ascii="宋体" w:hAnsi="宋体" w:cs="宋体"/>
                <w:kern w:val="0"/>
                <w:highlight w:val="none"/>
              </w:rPr>
            </w:pPr>
            <w:r>
              <w:rPr>
                <w:rFonts w:hint="eastAsia" w:ascii="宋体" w:hAnsi="宋体" w:cs="宋体"/>
                <w:kern w:val="0"/>
                <w:highlight w:val="none"/>
              </w:rPr>
              <w:t>法人委托人</w:t>
            </w:r>
          </w:p>
        </w:tc>
        <w:tc>
          <w:tcPr>
            <w:tcW w:w="2195" w:type="dxa"/>
            <w:vAlign w:val="center"/>
          </w:tcPr>
          <w:p>
            <w:pPr>
              <w:widowControl/>
              <w:spacing w:line="440" w:lineRule="exact"/>
              <w:rPr>
                <w:rFonts w:ascii="宋体" w:hAnsi="宋体" w:cs="宋体"/>
                <w:kern w:val="0"/>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45" w:hRule="atLeast"/>
          <w:jc w:val="center"/>
        </w:trPr>
        <w:tc>
          <w:tcPr>
            <w:tcW w:w="2341" w:type="dxa"/>
            <w:vAlign w:val="center"/>
          </w:tcPr>
          <w:p>
            <w:pPr>
              <w:widowControl/>
              <w:spacing w:line="440" w:lineRule="exact"/>
              <w:jc w:val="center"/>
              <w:rPr>
                <w:rFonts w:ascii="宋体" w:hAnsi="宋体" w:cs="宋体"/>
                <w:kern w:val="0"/>
                <w:highlight w:val="none"/>
              </w:rPr>
            </w:pPr>
            <w:r>
              <w:rPr>
                <w:rFonts w:hint="eastAsia" w:ascii="宋体" w:hAnsi="宋体" w:cs="宋体"/>
                <w:kern w:val="0"/>
                <w:highlight w:val="none"/>
              </w:rPr>
              <w:t>投标联系人</w:t>
            </w:r>
          </w:p>
        </w:tc>
        <w:tc>
          <w:tcPr>
            <w:tcW w:w="2494" w:type="dxa"/>
            <w:vAlign w:val="center"/>
          </w:tcPr>
          <w:p>
            <w:pPr>
              <w:widowControl/>
              <w:spacing w:line="440" w:lineRule="exact"/>
              <w:rPr>
                <w:rFonts w:ascii="宋体" w:hAnsi="宋体" w:cs="宋体"/>
                <w:kern w:val="0"/>
                <w:highlight w:val="none"/>
              </w:rPr>
            </w:pPr>
          </w:p>
        </w:tc>
        <w:tc>
          <w:tcPr>
            <w:tcW w:w="1729" w:type="dxa"/>
            <w:vAlign w:val="center"/>
          </w:tcPr>
          <w:p>
            <w:pPr>
              <w:widowControl/>
              <w:spacing w:line="440" w:lineRule="exact"/>
              <w:jc w:val="center"/>
              <w:rPr>
                <w:rFonts w:ascii="宋体" w:hAnsi="宋体" w:cs="宋体"/>
                <w:kern w:val="0"/>
                <w:highlight w:val="none"/>
              </w:rPr>
            </w:pPr>
            <w:r>
              <w:rPr>
                <w:rFonts w:hint="eastAsia" w:ascii="宋体" w:hAnsi="宋体" w:cs="宋体"/>
                <w:kern w:val="0"/>
                <w:highlight w:val="none"/>
              </w:rPr>
              <w:t>联系电话</w:t>
            </w:r>
          </w:p>
        </w:tc>
        <w:tc>
          <w:tcPr>
            <w:tcW w:w="2195" w:type="dxa"/>
            <w:vAlign w:val="center"/>
          </w:tcPr>
          <w:p>
            <w:pPr>
              <w:widowControl/>
              <w:spacing w:line="440" w:lineRule="exact"/>
              <w:rPr>
                <w:rFonts w:ascii="宋体" w:hAnsi="宋体" w:cs="宋体"/>
                <w:kern w:val="0"/>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527" w:hRule="atLeast"/>
          <w:jc w:val="center"/>
        </w:trPr>
        <w:tc>
          <w:tcPr>
            <w:tcW w:w="2341" w:type="dxa"/>
            <w:vAlign w:val="center"/>
          </w:tcPr>
          <w:p>
            <w:pPr>
              <w:widowControl/>
              <w:spacing w:line="440" w:lineRule="exact"/>
              <w:jc w:val="center"/>
              <w:rPr>
                <w:rFonts w:ascii="宋体" w:hAnsi="宋体" w:cs="宋体"/>
                <w:kern w:val="0"/>
                <w:highlight w:val="none"/>
              </w:rPr>
            </w:pPr>
            <w:r>
              <w:rPr>
                <w:rFonts w:hint="eastAsia" w:ascii="宋体" w:hAnsi="宋体" w:cs="宋体"/>
                <w:kern w:val="0"/>
                <w:highlight w:val="none"/>
              </w:rPr>
              <w:t>传真</w:t>
            </w:r>
          </w:p>
        </w:tc>
        <w:tc>
          <w:tcPr>
            <w:tcW w:w="2494" w:type="dxa"/>
            <w:vAlign w:val="center"/>
          </w:tcPr>
          <w:p>
            <w:pPr>
              <w:widowControl/>
              <w:spacing w:line="440" w:lineRule="exact"/>
              <w:rPr>
                <w:rFonts w:ascii="宋体" w:hAnsi="宋体" w:cs="宋体"/>
                <w:kern w:val="0"/>
                <w:highlight w:val="none"/>
              </w:rPr>
            </w:pPr>
          </w:p>
        </w:tc>
        <w:tc>
          <w:tcPr>
            <w:tcW w:w="1729" w:type="dxa"/>
            <w:vAlign w:val="center"/>
          </w:tcPr>
          <w:p>
            <w:pPr>
              <w:widowControl/>
              <w:spacing w:line="440" w:lineRule="exact"/>
              <w:jc w:val="center"/>
              <w:rPr>
                <w:rFonts w:ascii="宋体" w:hAnsi="宋体" w:cs="宋体"/>
                <w:kern w:val="0"/>
                <w:highlight w:val="none"/>
              </w:rPr>
            </w:pPr>
            <w:r>
              <w:rPr>
                <w:rFonts w:hint="eastAsia" w:ascii="宋体" w:hAnsi="宋体" w:cs="宋体"/>
                <w:kern w:val="0"/>
                <w:highlight w:val="none"/>
              </w:rPr>
              <w:t>电子邮箱</w:t>
            </w:r>
          </w:p>
        </w:tc>
        <w:tc>
          <w:tcPr>
            <w:tcW w:w="2195" w:type="dxa"/>
            <w:vAlign w:val="center"/>
          </w:tcPr>
          <w:p>
            <w:pPr>
              <w:widowControl/>
              <w:spacing w:line="440" w:lineRule="exact"/>
              <w:rPr>
                <w:rFonts w:ascii="宋体" w:hAnsi="宋体" w:cs="宋体"/>
                <w:kern w:val="0"/>
                <w:highlight w:val="none"/>
              </w:rPr>
            </w:pPr>
          </w:p>
        </w:tc>
      </w:tr>
      <w:tr>
        <w:tblPrEx>
          <w:tblBorders>
            <w:top w:val="single" w:color="auto" w:sz="8" w:space="0"/>
            <w:left w:val="single" w:color="auto" w:sz="8" w:space="0"/>
            <w:bottom w:val="single" w:color="auto" w:sz="8" w:space="0"/>
            <w:right w:val="single" w:color="auto" w:sz="8" w:space="0"/>
            <w:insideH w:val="single" w:color="auto" w:sz="6" w:space="0"/>
            <w:insideV w:val="single" w:color="auto" w:sz="6" w:space="0"/>
          </w:tblBorders>
          <w:tblCellMar>
            <w:top w:w="0" w:type="dxa"/>
            <w:left w:w="108" w:type="dxa"/>
            <w:bottom w:w="0" w:type="dxa"/>
            <w:right w:w="108" w:type="dxa"/>
          </w:tblCellMar>
        </w:tblPrEx>
        <w:trPr>
          <w:trHeight w:val="6943" w:hRule="atLeast"/>
          <w:jc w:val="center"/>
        </w:trPr>
        <w:tc>
          <w:tcPr>
            <w:tcW w:w="8759" w:type="dxa"/>
            <w:gridSpan w:val="4"/>
            <w:tcBorders>
              <w:bottom w:val="single" w:color="auto" w:sz="8" w:space="0"/>
            </w:tcBorders>
            <w:vAlign w:val="center"/>
          </w:tcPr>
          <w:p>
            <w:pPr>
              <w:widowControl/>
              <w:spacing w:line="440" w:lineRule="exact"/>
              <w:rPr>
                <w:rFonts w:ascii="宋体" w:hAnsi="宋体" w:cs="宋体"/>
                <w:kern w:val="0"/>
                <w:highlight w:val="none"/>
              </w:rPr>
            </w:pPr>
            <w:r>
              <w:rPr>
                <w:rFonts w:hint="eastAsia" w:ascii="宋体" w:hAnsi="宋体" w:cs="宋体"/>
                <w:kern w:val="0"/>
                <w:highlight w:val="none"/>
              </w:rPr>
              <w:t>1</w:t>
            </w:r>
            <w:r>
              <w:rPr>
                <w:rFonts w:ascii="宋体" w:hAnsi="宋体" w:cs="宋体"/>
                <w:kern w:val="0"/>
                <w:highlight w:val="none"/>
              </w:rPr>
              <w:t>.</w:t>
            </w:r>
            <w:r>
              <w:rPr>
                <w:rFonts w:hint="eastAsia" w:ascii="宋体" w:hAnsi="宋体" w:cs="宋体"/>
                <w:kern w:val="0"/>
                <w:highlight w:val="none"/>
              </w:rPr>
              <w:t>申请投标包件：</w:t>
            </w:r>
          </w:p>
          <w:p>
            <w:pPr>
              <w:widowControl/>
              <w:spacing w:line="440" w:lineRule="exact"/>
              <w:rPr>
                <w:rFonts w:ascii="宋体" w:hAnsi="宋体" w:cs="宋体"/>
                <w:kern w:val="0"/>
                <w:highlight w:val="none"/>
              </w:rPr>
            </w:pPr>
          </w:p>
          <w:p>
            <w:pPr>
              <w:widowControl/>
              <w:spacing w:line="440" w:lineRule="exact"/>
              <w:rPr>
                <w:rFonts w:ascii="宋体" w:hAnsi="宋体" w:cs="宋体"/>
                <w:kern w:val="0"/>
                <w:highlight w:val="none"/>
              </w:rPr>
            </w:pPr>
          </w:p>
          <w:p>
            <w:pPr>
              <w:widowControl/>
              <w:spacing w:line="440" w:lineRule="exact"/>
              <w:rPr>
                <w:rFonts w:ascii="宋体" w:hAnsi="宋体" w:cs="宋体"/>
                <w:kern w:val="0"/>
                <w:highlight w:val="none"/>
              </w:rPr>
            </w:pPr>
          </w:p>
          <w:p>
            <w:pPr>
              <w:widowControl/>
              <w:spacing w:line="440" w:lineRule="exact"/>
              <w:rPr>
                <w:rFonts w:ascii="宋体" w:hAnsi="宋体" w:cs="宋体"/>
                <w:kern w:val="0"/>
                <w:highlight w:val="none"/>
              </w:rPr>
            </w:pPr>
            <w:r>
              <w:rPr>
                <w:rFonts w:hint="eastAsia" w:ascii="宋体" w:hAnsi="宋体" w:cs="宋体"/>
                <w:kern w:val="0"/>
                <w:highlight w:val="none"/>
              </w:rPr>
              <w:t>2</w:t>
            </w:r>
            <w:r>
              <w:rPr>
                <w:rFonts w:ascii="宋体" w:hAnsi="宋体" w:cs="宋体"/>
                <w:kern w:val="0"/>
                <w:highlight w:val="none"/>
              </w:rPr>
              <w:t>.</w:t>
            </w:r>
            <w:r>
              <w:rPr>
                <w:rFonts w:hint="eastAsia" w:ascii="宋体" w:hAnsi="宋体" w:cs="宋体"/>
                <w:kern w:val="0"/>
                <w:highlight w:val="none"/>
              </w:rPr>
              <w:t>其它说明：</w:t>
            </w:r>
          </w:p>
          <w:p>
            <w:pPr>
              <w:widowControl/>
              <w:spacing w:line="440" w:lineRule="exact"/>
              <w:rPr>
                <w:rFonts w:ascii="宋体" w:hAnsi="宋体" w:cs="宋体"/>
                <w:kern w:val="0"/>
                <w:highlight w:val="none"/>
              </w:rPr>
            </w:pPr>
          </w:p>
          <w:p>
            <w:pPr>
              <w:widowControl/>
              <w:spacing w:line="440" w:lineRule="exact"/>
              <w:rPr>
                <w:rFonts w:ascii="宋体" w:hAnsi="宋体" w:cs="宋体"/>
                <w:kern w:val="0"/>
                <w:highlight w:val="none"/>
              </w:rPr>
            </w:pPr>
          </w:p>
          <w:p>
            <w:pPr>
              <w:widowControl/>
              <w:spacing w:line="440" w:lineRule="exact"/>
              <w:rPr>
                <w:rFonts w:ascii="宋体" w:hAnsi="宋体" w:cs="宋体"/>
                <w:kern w:val="0"/>
                <w:highlight w:val="none"/>
              </w:rPr>
            </w:pPr>
          </w:p>
          <w:p>
            <w:pPr>
              <w:widowControl/>
              <w:spacing w:line="440" w:lineRule="exact"/>
              <w:rPr>
                <w:rFonts w:ascii="宋体" w:hAnsi="宋体" w:cs="宋体"/>
                <w:kern w:val="0"/>
                <w:highlight w:val="none"/>
              </w:rPr>
            </w:pPr>
          </w:p>
          <w:p>
            <w:pPr>
              <w:widowControl/>
              <w:spacing w:line="440" w:lineRule="exact"/>
              <w:rPr>
                <w:rFonts w:ascii="宋体" w:hAnsi="宋体" w:cs="宋体"/>
                <w:kern w:val="0"/>
                <w:highlight w:val="none"/>
              </w:rPr>
            </w:pPr>
          </w:p>
          <w:p>
            <w:pPr>
              <w:widowControl/>
              <w:spacing w:line="440" w:lineRule="exact"/>
              <w:ind w:right="480" w:firstLine="4620" w:firstLineChars="2200"/>
              <w:rPr>
                <w:rFonts w:ascii="宋体" w:hAnsi="宋体" w:cs="宋体"/>
                <w:kern w:val="0"/>
                <w:highlight w:val="none"/>
              </w:rPr>
            </w:pPr>
            <w:r>
              <w:rPr>
                <w:rFonts w:hint="eastAsia" w:ascii="宋体" w:hAnsi="宋体" w:cs="宋体"/>
                <w:kern w:val="0"/>
                <w:highlight w:val="none"/>
              </w:rPr>
              <w:t>投标人（公章）</w:t>
            </w:r>
          </w:p>
          <w:p>
            <w:pPr>
              <w:widowControl/>
              <w:spacing w:line="440" w:lineRule="exact"/>
              <w:rPr>
                <w:rFonts w:ascii="宋体" w:hAnsi="宋体" w:cs="宋体"/>
                <w:kern w:val="0"/>
                <w:highlight w:val="none"/>
              </w:rPr>
            </w:pPr>
          </w:p>
          <w:p>
            <w:pPr>
              <w:widowControl/>
              <w:spacing w:line="440" w:lineRule="exact"/>
              <w:ind w:firstLine="4515" w:firstLineChars="2150"/>
              <w:rPr>
                <w:rFonts w:ascii="宋体" w:hAnsi="宋体" w:cs="宋体"/>
                <w:kern w:val="0"/>
                <w:highlight w:val="none"/>
              </w:rPr>
            </w:pPr>
            <w:r>
              <w:rPr>
                <w:rFonts w:hint="eastAsia" w:ascii="宋体" w:hAnsi="宋体" w:cs="宋体"/>
                <w:kern w:val="0"/>
                <w:highlight w:val="none"/>
              </w:rPr>
              <w:t>年月日</w:t>
            </w:r>
          </w:p>
          <w:p>
            <w:pPr>
              <w:widowControl/>
              <w:spacing w:line="440" w:lineRule="exact"/>
              <w:ind w:firstLine="4515" w:firstLineChars="2150"/>
              <w:rPr>
                <w:rFonts w:ascii="宋体" w:hAnsi="宋体" w:cs="宋体"/>
                <w:kern w:val="0"/>
                <w:highlight w:val="none"/>
              </w:rPr>
            </w:pPr>
          </w:p>
        </w:tc>
      </w:tr>
    </w:tbl>
    <w:p>
      <w:pPr>
        <w:jc w:val="right"/>
        <w:rPr>
          <w:highlight w:val="none"/>
        </w:rPr>
      </w:pPr>
      <w:r>
        <w:rPr>
          <w:rFonts w:hint="eastAsia" w:ascii="宋体" w:hAnsi="宋体"/>
          <w:highlight w:val="none"/>
        </w:rPr>
        <w:t>备注：此表投标申请人需按招标人、物资品种分别填写；同一招标人、同一物资品种可填写一份。</w:t>
      </w:r>
      <w:bookmarkStart w:id="10" w:name="_GoBack"/>
      <w:bookmarkEnd w:id="10"/>
    </w:p>
    <w:sectPr>
      <w:headerReference r:id="rId7" w:type="default"/>
      <w:footerReference r:id="rId8" w:type="default"/>
      <w:pgSz w:w="11906" w:h="16838"/>
      <w:pgMar w:top="1440" w:right="1083" w:bottom="1440" w:left="1083" w:header="851" w:footer="992" w:gutter="0"/>
      <w:cols w:space="425" w:num="1"/>
      <w:docGrid w:type="lines" w:linePitch="312" w:charSpace="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1"/>
    <w:family w:val="moder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Tahoma">
    <w:panose1 w:val="020B0604030504040204"/>
    <w:charset w:val="00"/>
    <w:family w:val="swiss"/>
    <w:pitch w:val="default"/>
    <w:sig w:usb0="E1002EFF" w:usb1="C000605B" w:usb2="00000029" w:usb3="00000000" w:csb0="200101FF" w:csb1="20280000"/>
  </w:font>
  <w:font w:name="微软雅黑">
    <w:panose1 w:val="020B0503020204020204"/>
    <w:charset w:val="86"/>
    <w:family w:val="swiss"/>
    <w:pitch w:val="default"/>
    <w:sig w:usb0="80000287" w:usb1="2ACF3C50" w:usb2="00000016" w:usb3="00000000" w:csb0="0004001F" w:csb1="00000000"/>
  </w:font>
  <w:font w:name="仿宋_GB2312">
    <w:panose1 w:val="02010609030101010101"/>
    <w:charset w:val="86"/>
    <w:family w:val="modern"/>
    <w:pitch w:val="default"/>
    <w:sig w:usb0="00000001" w:usb1="080E0000" w:usb2="00000000" w:usb3="00000000" w:csb0="00040000" w:csb1="00000000"/>
  </w:font>
  <w:font w:name="楷体_GB2312">
    <w:altName w:val="楷体"/>
    <w:panose1 w:val="00000000000000000000"/>
    <w:charset w:val="86"/>
    <w:family w:val="modern"/>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Wingdings 2">
    <w:panose1 w:val="05020102010507070707"/>
    <w:charset w:val="02"/>
    <w:family w:val="roman"/>
    <w:pitch w:val="default"/>
    <w:sig w:usb0="00000000" w:usb1="00000000" w:usb2="00000000" w:usb3="00000000" w:csb0="80000000" w:csb1="00000000"/>
  </w:font>
  <w:font w:name="仿宋">
    <w:panose1 w:val="02010609060101010101"/>
    <w:charset w:val="86"/>
    <w:family w:val="auto"/>
    <w:pitch w:val="default"/>
    <w:sig w:usb0="800002BF" w:usb1="38CF7CFA" w:usb2="00000016" w:usb3="00000000" w:csb0="00040001" w:csb1="00000000"/>
  </w:font>
  <w:font w:name="方正小标宋简体">
    <w:panose1 w:val="03000509000000000000"/>
    <w:charset w:val="86"/>
    <w:family w:val="script"/>
    <w:pitch w:val="default"/>
    <w:sig w:usb0="00000001" w:usb1="080E0000" w:usb2="00000000" w:usb3="00000000" w:csb0="00040000" w:csb1="00000000"/>
  </w:font>
  <w:font w:name="华文仿宋">
    <w:panose1 w:val="02010600040101010101"/>
    <w:charset w:val="86"/>
    <w:family w:val="auto"/>
    <w:pitch w:val="default"/>
    <w:sig w:usb0="00000287" w:usb1="080F0000" w:usb2="00000000" w:usb3="00000000" w:csb0="0004009F" w:csb1="DFD7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sdt>
    <w:sdtPr>
      <w:id w:val="970921"/>
    </w:sdtPr>
    <w:sdtContent>
      <w:p>
        <w:pPr>
          <w:pStyle w:val="17"/>
          <w:jc w:val="center"/>
        </w:pPr>
        <w:r>
          <w:fldChar w:fldCharType="begin"/>
        </w:r>
        <w:r>
          <w:instrText xml:space="preserve">PAGE   \* MERGEFORMAT</w:instrText>
        </w:r>
        <w:r>
          <w:fldChar w:fldCharType="separate"/>
        </w:r>
        <w:r>
          <w:rPr>
            <w:lang w:val="zh-CN"/>
          </w:rPr>
          <w:t>3</w:t>
        </w:r>
        <w:r>
          <w:rPr>
            <w:lang w:val="zh-CN"/>
          </w:rPr>
          <w:fldChar w:fldCharType="end"/>
        </w:r>
      </w:p>
    </w:sdtContent>
  </w:sdt>
  <w:p>
    <w:pPr>
      <w:pStyle w:val="17"/>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framePr w:wrap="around" w:vAnchor="text" w:hAnchor="margin" w:xAlign="right" w:y="1"/>
      <w:rPr>
        <w:rStyle w:val="29"/>
      </w:rPr>
    </w:pPr>
    <w:r>
      <w:fldChar w:fldCharType="begin"/>
    </w:r>
    <w:r>
      <w:rPr>
        <w:rStyle w:val="29"/>
      </w:rPr>
      <w:instrText xml:space="preserve">PAGE  </w:instrText>
    </w:r>
    <w:r>
      <w:fldChar w:fldCharType="separate"/>
    </w:r>
    <w:r>
      <w:rPr>
        <w:rStyle w:val="29"/>
      </w:rPr>
      <w:t>2</w:t>
    </w:r>
    <w:r>
      <w:fldChar w:fldCharType="end"/>
    </w:r>
  </w:p>
  <w:p>
    <w:pPr>
      <w:pStyle w:val="17"/>
      <w:ind w:right="360"/>
      <w:jc w:val="center"/>
    </w:pPr>
    <w:r>
      <w:rPr>
        <w:szCs w:val="21"/>
      </w:rPr>
      <w:t xml:space="preserve">- </w:t>
    </w:r>
    <w:r>
      <w:rPr>
        <w:szCs w:val="21"/>
      </w:rPr>
      <w:fldChar w:fldCharType="begin"/>
    </w:r>
    <w:r>
      <w:rPr>
        <w:szCs w:val="21"/>
      </w:rPr>
      <w:instrText xml:space="preserve"> PAGE </w:instrText>
    </w:r>
    <w:r>
      <w:rPr>
        <w:szCs w:val="21"/>
      </w:rPr>
      <w:fldChar w:fldCharType="separate"/>
    </w:r>
    <w:r>
      <w:rPr>
        <w:szCs w:val="21"/>
      </w:rPr>
      <w:t>2</w:t>
    </w:r>
    <w:r>
      <w:rPr>
        <w:szCs w:val="21"/>
      </w:rPr>
      <w:fldChar w:fldCharType="end"/>
    </w:r>
    <w:r>
      <w:rPr>
        <w:szCs w:val="21"/>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7"/>
      <w:ind w:firstLine="360"/>
      <w:jc w:val="center"/>
    </w:pPr>
    <w:r>
      <w:pict>
        <v:shape id="_x0000_s4097" o:spid="_x0000_s4097" o:spt="202" type="#_x0000_t202" style="position:absolute;left:0pt;height:144pt;width:144pt;mso-position-horizontal:center;mso-position-horizontal-relative:margin;mso-position-vertical:top;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">
          <v:path/>
          <v:fill on="f" focussize="0,0"/>
          <v:stroke on="f" joinstyle="miter"/>
          <v:imagedata o:title=""/>
          <o:lock v:ext="edit"/>
          <v:textbox inset="0mm,0mm,0mm,0mm" style="mso-fit-shape-to-text:t;">
            <w:txbxContent>
              <w:p>
                <w:pPr>
                  <w:pStyle w:val="17"/>
                  <w:ind w:firstLine="360"/>
                  <w:jc w:val="center"/>
                </w:pPr>
                <w:r>
                  <w:fldChar w:fldCharType="begin"/>
                </w:r>
                <w:r>
                  <w:rPr>
                    <w:rStyle w:val="29"/>
                  </w:rPr>
                  <w:instrText xml:space="preserve"> PAGE </w:instrText>
                </w:r>
                <w:r>
                  <w:fldChar w:fldCharType="separate"/>
                </w:r>
                <w:r>
                  <w:rPr>
                    <w:rStyle w:val="29"/>
                  </w:rPr>
                  <w:t>108</w:t>
                </w:r>
                <w:r>
                  <w:fldChar w:fldCharType="end"/>
                </w:r>
              </w:p>
            </w:txbxContent>
          </v:textbox>
        </v:shape>
      </w:pic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line="240" w:lineRule="auto"/>
      </w:pPr>
      <w:r>
        <w:separator/>
      </w:r>
    </w:p>
  </w:footnote>
  <w:footnote w:type="continuationSeparator" w:id="1">
    <w:p>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00000003"/>
    <w:multiLevelType w:val="multilevel"/>
    <w:tmpl w:val="00000003"/>
    <w:lvl w:ilvl="0" w:tentative="0">
      <w:start w:val="1"/>
      <w:numFmt w:val="bullet"/>
      <w:pStyle w:val="61"/>
      <w:lvlText w:val=""/>
      <w:lvlJc w:val="left"/>
      <w:pPr>
        <w:tabs>
          <w:tab w:val="left" w:pos="851"/>
        </w:tabs>
        <w:ind w:left="851" w:hanging="284"/>
      </w:pPr>
      <w:rPr>
        <w:rFonts w:hint="default" w:ascii="Wingdings" w:hAnsi="Wingdings"/>
        <w:b w:val="0"/>
        <w:i w:val="0"/>
        <w:sz w:val="24"/>
      </w:rPr>
    </w:lvl>
    <w:lvl w:ilvl="1" w:tentative="0">
      <w:start w:val="1"/>
      <w:numFmt w:val="lowerLetter"/>
      <w:lvlText w:val="%2)"/>
      <w:lvlJc w:val="left"/>
      <w:pPr>
        <w:tabs>
          <w:tab w:val="left" w:pos="840"/>
        </w:tabs>
        <w:ind w:left="840" w:hanging="420"/>
      </w:pPr>
    </w:lvl>
    <w:lvl w:ilvl="2" w:tentative="0">
      <w:start w:val="1"/>
      <w:numFmt w:val="lowerRoman"/>
      <w:lvlText w:val="%3."/>
      <w:lvlJc w:val="right"/>
      <w:pPr>
        <w:tabs>
          <w:tab w:val="left" w:pos="1260"/>
        </w:tabs>
        <w:ind w:left="1260" w:hanging="420"/>
      </w:pPr>
    </w:lvl>
    <w:lvl w:ilvl="3" w:tentative="0">
      <w:start w:val="1"/>
      <w:numFmt w:val="decimal"/>
      <w:lvlText w:val="%4."/>
      <w:lvlJc w:val="left"/>
      <w:pPr>
        <w:tabs>
          <w:tab w:val="left" w:pos="1680"/>
        </w:tabs>
        <w:ind w:left="1680" w:hanging="420"/>
      </w:pPr>
    </w:lvl>
    <w:lvl w:ilvl="4" w:tentative="0">
      <w:start w:val="1"/>
      <w:numFmt w:val="lowerLetter"/>
      <w:lvlText w:val="%5)"/>
      <w:lvlJc w:val="left"/>
      <w:pPr>
        <w:tabs>
          <w:tab w:val="left" w:pos="2100"/>
        </w:tabs>
        <w:ind w:left="2100" w:hanging="420"/>
      </w:pPr>
    </w:lvl>
    <w:lvl w:ilvl="5" w:tentative="0">
      <w:start w:val="1"/>
      <w:numFmt w:val="lowerRoman"/>
      <w:lvlText w:val="%6."/>
      <w:lvlJc w:val="right"/>
      <w:pPr>
        <w:tabs>
          <w:tab w:val="left" w:pos="2520"/>
        </w:tabs>
        <w:ind w:left="2520" w:hanging="420"/>
      </w:pPr>
    </w:lvl>
    <w:lvl w:ilvl="6" w:tentative="0">
      <w:start w:val="1"/>
      <w:numFmt w:val="decimal"/>
      <w:lvlText w:val="%7."/>
      <w:lvlJc w:val="left"/>
      <w:pPr>
        <w:tabs>
          <w:tab w:val="left" w:pos="2940"/>
        </w:tabs>
        <w:ind w:left="2940" w:hanging="420"/>
      </w:pPr>
    </w:lvl>
    <w:lvl w:ilvl="7" w:tentative="0">
      <w:start w:val="1"/>
      <w:numFmt w:val="lowerLetter"/>
      <w:lvlText w:val="%8)"/>
      <w:lvlJc w:val="left"/>
      <w:pPr>
        <w:tabs>
          <w:tab w:val="left" w:pos="3360"/>
        </w:tabs>
        <w:ind w:left="3360" w:hanging="420"/>
      </w:pPr>
    </w:lvl>
    <w:lvl w:ilvl="8" w:tentative="0">
      <w:start w:val="1"/>
      <w:numFmt w:val="lowerRoman"/>
      <w:lvlText w:val="%9."/>
      <w:lvlJc w:val="right"/>
      <w:pPr>
        <w:tabs>
          <w:tab w:val="left" w:pos="3780"/>
        </w:tabs>
        <w:ind w:left="3780" w:hanging="420"/>
      </w:pPr>
    </w:lvl>
  </w:abstractNum>
  <w:abstractNum w:abstractNumId="1">
    <w:nsid w:val="00000006"/>
    <w:multiLevelType w:val="multilevel"/>
    <w:tmpl w:val="00000006"/>
    <w:lvl w:ilvl="0" w:tentative="0">
      <w:start w:val="1"/>
      <w:numFmt w:val="decimal"/>
      <w:pStyle w:val="60"/>
      <w:lvlText w:val="%1)"/>
      <w:lvlJc w:val="left"/>
      <w:pPr>
        <w:tabs>
          <w:tab w:val="left" w:pos="1287"/>
        </w:tabs>
        <w:ind w:left="1287" w:hanging="567"/>
      </w:pPr>
      <w:rPr>
        <w:rFonts w:hint="eastAsia"/>
        <w:b w:val="0"/>
        <w:i w:val="0"/>
        <w:sz w:val="24"/>
      </w:rPr>
    </w:lvl>
    <w:lvl w:ilvl="1" w:tentative="0">
      <w:start w:val="1"/>
      <w:numFmt w:val="lowerLetter"/>
      <w:lvlText w:val="%2)"/>
      <w:lvlJc w:val="left"/>
      <w:pPr>
        <w:tabs>
          <w:tab w:val="left" w:pos="993"/>
        </w:tabs>
        <w:ind w:left="993" w:hanging="420"/>
      </w:pPr>
    </w:lvl>
    <w:lvl w:ilvl="2" w:tentative="0">
      <w:start w:val="1"/>
      <w:numFmt w:val="lowerRoman"/>
      <w:lvlText w:val="%3."/>
      <w:lvlJc w:val="right"/>
      <w:pPr>
        <w:tabs>
          <w:tab w:val="left" w:pos="1413"/>
        </w:tabs>
        <w:ind w:left="1413" w:hanging="420"/>
      </w:pPr>
    </w:lvl>
    <w:lvl w:ilvl="3" w:tentative="0">
      <w:start w:val="1"/>
      <w:numFmt w:val="decimal"/>
      <w:lvlText w:val="%4."/>
      <w:lvlJc w:val="left"/>
      <w:pPr>
        <w:tabs>
          <w:tab w:val="left" w:pos="1833"/>
        </w:tabs>
        <w:ind w:left="1833" w:hanging="420"/>
      </w:pPr>
    </w:lvl>
    <w:lvl w:ilvl="4" w:tentative="0">
      <w:start w:val="1"/>
      <w:numFmt w:val="lowerLetter"/>
      <w:lvlText w:val="%5)"/>
      <w:lvlJc w:val="left"/>
      <w:pPr>
        <w:tabs>
          <w:tab w:val="left" w:pos="2253"/>
        </w:tabs>
        <w:ind w:left="2253" w:hanging="420"/>
      </w:pPr>
    </w:lvl>
    <w:lvl w:ilvl="5" w:tentative="0">
      <w:start w:val="1"/>
      <w:numFmt w:val="lowerRoman"/>
      <w:lvlText w:val="%6."/>
      <w:lvlJc w:val="right"/>
      <w:pPr>
        <w:tabs>
          <w:tab w:val="left" w:pos="2673"/>
        </w:tabs>
        <w:ind w:left="2673" w:hanging="420"/>
      </w:pPr>
    </w:lvl>
    <w:lvl w:ilvl="6" w:tentative="0">
      <w:start w:val="1"/>
      <w:numFmt w:val="decimal"/>
      <w:lvlText w:val="%7."/>
      <w:lvlJc w:val="left"/>
      <w:pPr>
        <w:tabs>
          <w:tab w:val="left" w:pos="3093"/>
        </w:tabs>
        <w:ind w:left="3093" w:hanging="420"/>
      </w:pPr>
    </w:lvl>
    <w:lvl w:ilvl="7" w:tentative="0">
      <w:start w:val="1"/>
      <w:numFmt w:val="lowerLetter"/>
      <w:lvlText w:val="%8)"/>
      <w:lvlJc w:val="left"/>
      <w:pPr>
        <w:tabs>
          <w:tab w:val="left" w:pos="3513"/>
        </w:tabs>
        <w:ind w:left="3513" w:hanging="420"/>
      </w:pPr>
    </w:lvl>
    <w:lvl w:ilvl="8" w:tentative="0">
      <w:start w:val="1"/>
      <w:numFmt w:val="lowerRoman"/>
      <w:lvlText w:val="%9."/>
      <w:lvlJc w:val="right"/>
      <w:pPr>
        <w:tabs>
          <w:tab w:val="left" w:pos="3933"/>
        </w:tabs>
        <w:ind w:left="3933" w:hanging="42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bordersDoNotSurroundHeader w:val="0"/>
  <w:bordersDoNotSurroundFooter w:val="0"/>
  <w:hideSpellingErrors/>
  <w:documentProtection w:enforcement="0"/>
  <w:defaultTabStop w:val="420"/>
  <w:drawingGridHorizontalSpacing w:val="105"/>
  <w:drawingGridVerticalSpacing w:val="156"/>
  <w:displayHorizontalDrawingGridEvery w:val="1"/>
  <w:displayVerticalDrawingGridEvery w:val="1"/>
  <w:noPunctuationKerning w:val="1"/>
  <w:characterSpacingControl w:val="compressPunctuation"/>
  <w:hdrShapeDefaults>
    <o:shapelayout v:ext="edit">
      <o:idmap v:ext="edit" data="3,4"/>
    </o:shapelayout>
  </w:hdrShapeDefaults>
  <w:footnotePr>
    <w:footnote w:id="0"/>
    <w:footnote w:id="1"/>
  </w:footnotePr>
  <w:endnotePr>
    <w:endnote w:id="0"/>
    <w:endnote w:id="1"/>
  </w:endnotePr>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2"/>
  </w:compat>
  <w:rsids>
    <w:rsidRoot w:val="004904C5"/>
    <w:rsid w:val="000008D1"/>
    <w:rsid w:val="00004820"/>
    <w:rsid w:val="00004FEA"/>
    <w:rsid w:val="00005F00"/>
    <w:rsid w:val="00011ACA"/>
    <w:rsid w:val="0001274C"/>
    <w:rsid w:val="0001337A"/>
    <w:rsid w:val="00013815"/>
    <w:rsid w:val="00014F82"/>
    <w:rsid w:val="00015C4B"/>
    <w:rsid w:val="00017A77"/>
    <w:rsid w:val="00017F05"/>
    <w:rsid w:val="00023FE8"/>
    <w:rsid w:val="00025B2B"/>
    <w:rsid w:val="0003249E"/>
    <w:rsid w:val="0003282B"/>
    <w:rsid w:val="000368CD"/>
    <w:rsid w:val="00042579"/>
    <w:rsid w:val="00050CAE"/>
    <w:rsid w:val="00052855"/>
    <w:rsid w:val="00053857"/>
    <w:rsid w:val="00053B89"/>
    <w:rsid w:val="000603FA"/>
    <w:rsid w:val="00060A6E"/>
    <w:rsid w:val="00063263"/>
    <w:rsid w:val="00071960"/>
    <w:rsid w:val="00075E02"/>
    <w:rsid w:val="000869B5"/>
    <w:rsid w:val="00086BCE"/>
    <w:rsid w:val="00091791"/>
    <w:rsid w:val="000A6EB7"/>
    <w:rsid w:val="000B453D"/>
    <w:rsid w:val="000C35C8"/>
    <w:rsid w:val="000C3EC8"/>
    <w:rsid w:val="000C613B"/>
    <w:rsid w:val="000D3337"/>
    <w:rsid w:val="000D372C"/>
    <w:rsid w:val="000D49B7"/>
    <w:rsid w:val="000D651B"/>
    <w:rsid w:val="000D67A8"/>
    <w:rsid w:val="000E3387"/>
    <w:rsid w:val="000F1542"/>
    <w:rsid w:val="000F2387"/>
    <w:rsid w:val="000F7086"/>
    <w:rsid w:val="000F7441"/>
    <w:rsid w:val="00102B50"/>
    <w:rsid w:val="001046B1"/>
    <w:rsid w:val="00110272"/>
    <w:rsid w:val="001135D8"/>
    <w:rsid w:val="0011543F"/>
    <w:rsid w:val="0012330F"/>
    <w:rsid w:val="001240B1"/>
    <w:rsid w:val="00127D86"/>
    <w:rsid w:val="001304A8"/>
    <w:rsid w:val="0013077E"/>
    <w:rsid w:val="001360A9"/>
    <w:rsid w:val="0014549D"/>
    <w:rsid w:val="00145E4F"/>
    <w:rsid w:val="00146FCA"/>
    <w:rsid w:val="0015239E"/>
    <w:rsid w:val="001559F8"/>
    <w:rsid w:val="00156653"/>
    <w:rsid w:val="00161138"/>
    <w:rsid w:val="00162944"/>
    <w:rsid w:val="00173C5E"/>
    <w:rsid w:val="0017661A"/>
    <w:rsid w:val="00181479"/>
    <w:rsid w:val="00191856"/>
    <w:rsid w:val="00192049"/>
    <w:rsid w:val="00193E6F"/>
    <w:rsid w:val="001944C9"/>
    <w:rsid w:val="00195A8E"/>
    <w:rsid w:val="0019751C"/>
    <w:rsid w:val="001A1683"/>
    <w:rsid w:val="001A78EE"/>
    <w:rsid w:val="001B6913"/>
    <w:rsid w:val="001C1ECA"/>
    <w:rsid w:val="001C36A9"/>
    <w:rsid w:val="001C3D13"/>
    <w:rsid w:val="001C54CC"/>
    <w:rsid w:val="001D1D8F"/>
    <w:rsid w:val="001E01ED"/>
    <w:rsid w:val="001E25E6"/>
    <w:rsid w:val="001F0E1D"/>
    <w:rsid w:val="00201B53"/>
    <w:rsid w:val="00203F4B"/>
    <w:rsid w:val="002040EB"/>
    <w:rsid w:val="00204AA3"/>
    <w:rsid w:val="00204E46"/>
    <w:rsid w:val="00204EFF"/>
    <w:rsid w:val="00205217"/>
    <w:rsid w:val="00211BD7"/>
    <w:rsid w:val="00213086"/>
    <w:rsid w:val="00213388"/>
    <w:rsid w:val="002273B6"/>
    <w:rsid w:val="00230207"/>
    <w:rsid w:val="00231098"/>
    <w:rsid w:val="00232090"/>
    <w:rsid w:val="00240BEB"/>
    <w:rsid w:val="00241031"/>
    <w:rsid w:val="00241D25"/>
    <w:rsid w:val="002470DA"/>
    <w:rsid w:val="002471C7"/>
    <w:rsid w:val="00250699"/>
    <w:rsid w:val="00251F41"/>
    <w:rsid w:val="0025375E"/>
    <w:rsid w:val="00253E6C"/>
    <w:rsid w:val="00263156"/>
    <w:rsid w:val="0026518A"/>
    <w:rsid w:val="00266DCF"/>
    <w:rsid w:val="00274550"/>
    <w:rsid w:val="0027553B"/>
    <w:rsid w:val="002757FA"/>
    <w:rsid w:val="00275BBE"/>
    <w:rsid w:val="002760D6"/>
    <w:rsid w:val="00277578"/>
    <w:rsid w:val="002840A1"/>
    <w:rsid w:val="00287718"/>
    <w:rsid w:val="00291422"/>
    <w:rsid w:val="00291881"/>
    <w:rsid w:val="002A2140"/>
    <w:rsid w:val="002A290F"/>
    <w:rsid w:val="002B1D98"/>
    <w:rsid w:val="002B3EAC"/>
    <w:rsid w:val="002B53AB"/>
    <w:rsid w:val="002C1300"/>
    <w:rsid w:val="002C2DC2"/>
    <w:rsid w:val="002C4883"/>
    <w:rsid w:val="002C4C89"/>
    <w:rsid w:val="002C776E"/>
    <w:rsid w:val="002D2658"/>
    <w:rsid w:val="002D7C08"/>
    <w:rsid w:val="002E3B5B"/>
    <w:rsid w:val="002E79E8"/>
    <w:rsid w:val="002F1FA4"/>
    <w:rsid w:val="002F22CD"/>
    <w:rsid w:val="002F5981"/>
    <w:rsid w:val="002F5AB3"/>
    <w:rsid w:val="002F70F3"/>
    <w:rsid w:val="0030379F"/>
    <w:rsid w:val="003048AE"/>
    <w:rsid w:val="00306248"/>
    <w:rsid w:val="00314231"/>
    <w:rsid w:val="00321F13"/>
    <w:rsid w:val="0032776C"/>
    <w:rsid w:val="00343D29"/>
    <w:rsid w:val="00346B6B"/>
    <w:rsid w:val="003536E1"/>
    <w:rsid w:val="00354C85"/>
    <w:rsid w:val="003561B9"/>
    <w:rsid w:val="00360C46"/>
    <w:rsid w:val="0036123E"/>
    <w:rsid w:val="00363A98"/>
    <w:rsid w:val="003645A3"/>
    <w:rsid w:val="00367A2E"/>
    <w:rsid w:val="00373529"/>
    <w:rsid w:val="003760AD"/>
    <w:rsid w:val="00376BDB"/>
    <w:rsid w:val="003901A6"/>
    <w:rsid w:val="00390C26"/>
    <w:rsid w:val="00391F81"/>
    <w:rsid w:val="00393182"/>
    <w:rsid w:val="00396618"/>
    <w:rsid w:val="00396C68"/>
    <w:rsid w:val="0039701A"/>
    <w:rsid w:val="003A24C0"/>
    <w:rsid w:val="003A38BD"/>
    <w:rsid w:val="003A59F8"/>
    <w:rsid w:val="003B1096"/>
    <w:rsid w:val="003B3A05"/>
    <w:rsid w:val="003B480B"/>
    <w:rsid w:val="003C09DC"/>
    <w:rsid w:val="003C2E95"/>
    <w:rsid w:val="003C2F74"/>
    <w:rsid w:val="003C3E2B"/>
    <w:rsid w:val="003D1BC7"/>
    <w:rsid w:val="003D32E8"/>
    <w:rsid w:val="003D3720"/>
    <w:rsid w:val="003E380F"/>
    <w:rsid w:val="003E4929"/>
    <w:rsid w:val="003E53FE"/>
    <w:rsid w:val="003E6A10"/>
    <w:rsid w:val="003F0E1B"/>
    <w:rsid w:val="003F445F"/>
    <w:rsid w:val="004001E2"/>
    <w:rsid w:val="0040626B"/>
    <w:rsid w:val="00422376"/>
    <w:rsid w:val="00431FDD"/>
    <w:rsid w:val="00432265"/>
    <w:rsid w:val="00442EB8"/>
    <w:rsid w:val="00443810"/>
    <w:rsid w:val="00446892"/>
    <w:rsid w:val="00451834"/>
    <w:rsid w:val="00460728"/>
    <w:rsid w:val="00462535"/>
    <w:rsid w:val="00473516"/>
    <w:rsid w:val="00475A80"/>
    <w:rsid w:val="004774AE"/>
    <w:rsid w:val="00482CFF"/>
    <w:rsid w:val="004844D7"/>
    <w:rsid w:val="00486633"/>
    <w:rsid w:val="004904C5"/>
    <w:rsid w:val="00490820"/>
    <w:rsid w:val="00492BED"/>
    <w:rsid w:val="00494428"/>
    <w:rsid w:val="00495445"/>
    <w:rsid w:val="004A633E"/>
    <w:rsid w:val="004A6A1C"/>
    <w:rsid w:val="004A7A7F"/>
    <w:rsid w:val="004B0188"/>
    <w:rsid w:val="004B2BAC"/>
    <w:rsid w:val="004B49BA"/>
    <w:rsid w:val="004B5D8B"/>
    <w:rsid w:val="004B7036"/>
    <w:rsid w:val="004C67FA"/>
    <w:rsid w:val="004D0E5C"/>
    <w:rsid w:val="004D157F"/>
    <w:rsid w:val="004D21DE"/>
    <w:rsid w:val="004E29B3"/>
    <w:rsid w:val="004E39D0"/>
    <w:rsid w:val="004E5AE4"/>
    <w:rsid w:val="004E718A"/>
    <w:rsid w:val="004F0E90"/>
    <w:rsid w:val="004F3D18"/>
    <w:rsid w:val="004F483A"/>
    <w:rsid w:val="004F7B9E"/>
    <w:rsid w:val="00503683"/>
    <w:rsid w:val="00504870"/>
    <w:rsid w:val="00504BD7"/>
    <w:rsid w:val="00505EED"/>
    <w:rsid w:val="00510217"/>
    <w:rsid w:val="005119B7"/>
    <w:rsid w:val="005158E3"/>
    <w:rsid w:val="00517782"/>
    <w:rsid w:val="005208F4"/>
    <w:rsid w:val="00523D5B"/>
    <w:rsid w:val="00527AC5"/>
    <w:rsid w:val="00527E64"/>
    <w:rsid w:val="00536B21"/>
    <w:rsid w:val="00540747"/>
    <w:rsid w:val="00542DFC"/>
    <w:rsid w:val="00544EAC"/>
    <w:rsid w:val="005507E0"/>
    <w:rsid w:val="00550B33"/>
    <w:rsid w:val="005526EC"/>
    <w:rsid w:val="00564BD1"/>
    <w:rsid w:val="0056544F"/>
    <w:rsid w:val="00572B4D"/>
    <w:rsid w:val="00576BC5"/>
    <w:rsid w:val="005830C8"/>
    <w:rsid w:val="00592F15"/>
    <w:rsid w:val="0059375D"/>
    <w:rsid w:val="005B35D3"/>
    <w:rsid w:val="005B59E9"/>
    <w:rsid w:val="005B6663"/>
    <w:rsid w:val="005B7482"/>
    <w:rsid w:val="005C12EC"/>
    <w:rsid w:val="005C18B7"/>
    <w:rsid w:val="005D010C"/>
    <w:rsid w:val="005D0E58"/>
    <w:rsid w:val="005F1596"/>
    <w:rsid w:val="005F5B39"/>
    <w:rsid w:val="005F5CAF"/>
    <w:rsid w:val="00600979"/>
    <w:rsid w:val="00604651"/>
    <w:rsid w:val="006053A2"/>
    <w:rsid w:val="006104EF"/>
    <w:rsid w:val="00614263"/>
    <w:rsid w:val="00615BAA"/>
    <w:rsid w:val="00617937"/>
    <w:rsid w:val="00622EA3"/>
    <w:rsid w:val="00630446"/>
    <w:rsid w:val="0063167E"/>
    <w:rsid w:val="00633717"/>
    <w:rsid w:val="00633B7A"/>
    <w:rsid w:val="006353AE"/>
    <w:rsid w:val="006418F1"/>
    <w:rsid w:val="006436CD"/>
    <w:rsid w:val="00643B19"/>
    <w:rsid w:val="00652CCF"/>
    <w:rsid w:val="00657F5D"/>
    <w:rsid w:val="006643F8"/>
    <w:rsid w:val="0067617C"/>
    <w:rsid w:val="006838E3"/>
    <w:rsid w:val="006906B3"/>
    <w:rsid w:val="00691FCB"/>
    <w:rsid w:val="00696359"/>
    <w:rsid w:val="006A04DB"/>
    <w:rsid w:val="006A0F72"/>
    <w:rsid w:val="006A4227"/>
    <w:rsid w:val="006A5859"/>
    <w:rsid w:val="006A67BB"/>
    <w:rsid w:val="006B01C6"/>
    <w:rsid w:val="006B40EB"/>
    <w:rsid w:val="006B50C3"/>
    <w:rsid w:val="006C31E2"/>
    <w:rsid w:val="006C39FC"/>
    <w:rsid w:val="006C6DE4"/>
    <w:rsid w:val="006C7BC2"/>
    <w:rsid w:val="006D0638"/>
    <w:rsid w:val="006D1B12"/>
    <w:rsid w:val="006D5F23"/>
    <w:rsid w:val="006E086E"/>
    <w:rsid w:val="006E107B"/>
    <w:rsid w:val="006E6524"/>
    <w:rsid w:val="006E76CD"/>
    <w:rsid w:val="006E77D7"/>
    <w:rsid w:val="006F103A"/>
    <w:rsid w:val="006F26FA"/>
    <w:rsid w:val="006F3C79"/>
    <w:rsid w:val="006F746C"/>
    <w:rsid w:val="00701C8B"/>
    <w:rsid w:val="0070359F"/>
    <w:rsid w:val="00704054"/>
    <w:rsid w:val="00704755"/>
    <w:rsid w:val="00706211"/>
    <w:rsid w:val="007207A1"/>
    <w:rsid w:val="00722ABF"/>
    <w:rsid w:val="0073037B"/>
    <w:rsid w:val="00733440"/>
    <w:rsid w:val="00736822"/>
    <w:rsid w:val="007374F6"/>
    <w:rsid w:val="00744488"/>
    <w:rsid w:val="00744899"/>
    <w:rsid w:val="00744D4A"/>
    <w:rsid w:val="00747A57"/>
    <w:rsid w:val="00747D3B"/>
    <w:rsid w:val="00752926"/>
    <w:rsid w:val="007536AB"/>
    <w:rsid w:val="00755E66"/>
    <w:rsid w:val="00762BB5"/>
    <w:rsid w:val="007660B1"/>
    <w:rsid w:val="00770EDE"/>
    <w:rsid w:val="0077168B"/>
    <w:rsid w:val="00774DCE"/>
    <w:rsid w:val="00791698"/>
    <w:rsid w:val="00793A0B"/>
    <w:rsid w:val="007A33DA"/>
    <w:rsid w:val="007A68BA"/>
    <w:rsid w:val="007A7741"/>
    <w:rsid w:val="007B0CBC"/>
    <w:rsid w:val="007B0D7D"/>
    <w:rsid w:val="007B25B4"/>
    <w:rsid w:val="007B2FA4"/>
    <w:rsid w:val="007B435C"/>
    <w:rsid w:val="007B5AD8"/>
    <w:rsid w:val="007B5C9B"/>
    <w:rsid w:val="007C003C"/>
    <w:rsid w:val="007C4A56"/>
    <w:rsid w:val="007C5034"/>
    <w:rsid w:val="007E3B07"/>
    <w:rsid w:val="007E559B"/>
    <w:rsid w:val="007E591F"/>
    <w:rsid w:val="007F3E1C"/>
    <w:rsid w:val="007F7AFB"/>
    <w:rsid w:val="007F7CF6"/>
    <w:rsid w:val="008045E4"/>
    <w:rsid w:val="0080564E"/>
    <w:rsid w:val="008107F3"/>
    <w:rsid w:val="00813C39"/>
    <w:rsid w:val="00815951"/>
    <w:rsid w:val="008210DE"/>
    <w:rsid w:val="008218FA"/>
    <w:rsid w:val="00822932"/>
    <w:rsid w:val="00826316"/>
    <w:rsid w:val="00833646"/>
    <w:rsid w:val="008345A3"/>
    <w:rsid w:val="00842A62"/>
    <w:rsid w:val="0085011F"/>
    <w:rsid w:val="00850DDE"/>
    <w:rsid w:val="00854EEF"/>
    <w:rsid w:val="00857394"/>
    <w:rsid w:val="00864B62"/>
    <w:rsid w:val="00892E89"/>
    <w:rsid w:val="00893212"/>
    <w:rsid w:val="008A2367"/>
    <w:rsid w:val="008A3DDA"/>
    <w:rsid w:val="008A630C"/>
    <w:rsid w:val="008B08D4"/>
    <w:rsid w:val="008B17E3"/>
    <w:rsid w:val="008C5C54"/>
    <w:rsid w:val="008D4E7D"/>
    <w:rsid w:val="008D56CD"/>
    <w:rsid w:val="008E13CA"/>
    <w:rsid w:val="008E19FC"/>
    <w:rsid w:val="008F1022"/>
    <w:rsid w:val="008F1AE9"/>
    <w:rsid w:val="008F4747"/>
    <w:rsid w:val="008F68E0"/>
    <w:rsid w:val="008F77A1"/>
    <w:rsid w:val="00903C45"/>
    <w:rsid w:val="00907C9B"/>
    <w:rsid w:val="00910A5A"/>
    <w:rsid w:val="00911859"/>
    <w:rsid w:val="00912AC0"/>
    <w:rsid w:val="00913517"/>
    <w:rsid w:val="00923782"/>
    <w:rsid w:val="00926CCF"/>
    <w:rsid w:val="00933870"/>
    <w:rsid w:val="00934A81"/>
    <w:rsid w:val="00937094"/>
    <w:rsid w:val="00940A06"/>
    <w:rsid w:val="00942102"/>
    <w:rsid w:val="00945821"/>
    <w:rsid w:val="00951FCE"/>
    <w:rsid w:val="0095241A"/>
    <w:rsid w:val="00954C8C"/>
    <w:rsid w:val="00957F83"/>
    <w:rsid w:val="009667AE"/>
    <w:rsid w:val="00966E58"/>
    <w:rsid w:val="00986010"/>
    <w:rsid w:val="00986116"/>
    <w:rsid w:val="00986BAE"/>
    <w:rsid w:val="009907BB"/>
    <w:rsid w:val="00992116"/>
    <w:rsid w:val="009953F7"/>
    <w:rsid w:val="00996052"/>
    <w:rsid w:val="0099782A"/>
    <w:rsid w:val="00997FBA"/>
    <w:rsid w:val="009A5ABE"/>
    <w:rsid w:val="009B2076"/>
    <w:rsid w:val="009B5841"/>
    <w:rsid w:val="009C2F92"/>
    <w:rsid w:val="009C37E0"/>
    <w:rsid w:val="009C5181"/>
    <w:rsid w:val="009C5E65"/>
    <w:rsid w:val="009C6402"/>
    <w:rsid w:val="009D02DF"/>
    <w:rsid w:val="009D089C"/>
    <w:rsid w:val="009D6AE9"/>
    <w:rsid w:val="009E0CAA"/>
    <w:rsid w:val="009E0E9D"/>
    <w:rsid w:val="009E1D61"/>
    <w:rsid w:val="009F16A7"/>
    <w:rsid w:val="009F3EF5"/>
    <w:rsid w:val="009F3F54"/>
    <w:rsid w:val="009F4E89"/>
    <w:rsid w:val="00A00B75"/>
    <w:rsid w:val="00A24CC4"/>
    <w:rsid w:val="00A271A9"/>
    <w:rsid w:val="00A328A9"/>
    <w:rsid w:val="00A32E0B"/>
    <w:rsid w:val="00A37CB8"/>
    <w:rsid w:val="00A42446"/>
    <w:rsid w:val="00A437B0"/>
    <w:rsid w:val="00A47AB7"/>
    <w:rsid w:val="00A50497"/>
    <w:rsid w:val="00A53DFD"/>
    <w:rsid w:val="00A56F06"/>
    <w:rsid w:val="00A5725D"/>
    <w:rsid w:val="00A63342"/>
    <w:rsid w:val="00A6620A"/>
    <w:rsid w:val="00A66BF5"/>
    <w:rsid w:val="00A67706"/>
    <w:rsid w:val="00A75187"/>
    <w:rsid w:val="00A75352"/>
    <w:rsid w:val="00A85686"/>
    <w:rsid w:val="00AA3C2D"/>
    <w:rsid w:val="00AA4B0C"/>
    <w:rsid w:val="00AA562D"/>
    <w:rsid w:val="00AA74B9"/>
    <w:rsid w:val="00AB2932"/>
    <w:rsid w:val="00AB32B7"/>
    <w:rsid w:val="00AB3F41"/>
    <w:rsid w:val="00AB537D"/>
    <w:rsid w:val="00AC2E37"/>
    <w:rsid w:val="00AC6335"/>
    <w:rsid w:val="00AC7F9B"/>
    <w:rsid w:val="00AD193E"/>
    <w:rsid w:val="00AD2939"/>
    <w:rsid w:val="00AD322F"/>
    <w:rsid w:val="00AE06B5"/>
    <w:rsid w:val="00AE4554"/>
    <w:rsid w:val="00AF44DB"/>
    <w:rsid w:val="00AF6B73"/>
    <w:rsid w:val="00AF6E5D"/>
    <w:rsid w:val="00B02637"/>
    <w:rsid w:val="00B041D8"/>
    <w:rsid w:val="00B07795"/>
    <w:rsid w:val="00B11D6D"/>
    <w:rsid w:val="00B13D44"/>
    <w:rsid w:val="00B14D49"/>
    <w:rsid w:val="00B15AF2"/>
    <w:rsid w:val="00B160CE"/>
    <w:rsid w:val="00B217C5"/>
    <w:rsid w:val="00B25334"/>
    <w:rsid w:val="00B26316"/>
    <w:rsid w:val="00B30448"/>
    <w:rsid w:val="00B314E9"/>
    <w:rsid w:val="00B35EE1"/>
    <w:rsid w:val="00B35F18"/>
    <w:rsid w:val="00B400B6"/>
    <w:rsid w:val="00B43FBC"/>
    <w:rsid w:val="00B47D13"/>
    <w:rsid w:val="00B50010"/>
    <w:rsid w:val="00B57B1A"/>
    <w:rsid w:val="00B61874"/>
    <w:rsid w:val="00B6211B"/>
    <w:rsid w:val="00B626B7"/>
    <w:rsid w:val="00B64B92"/>
    <w:rsid w:val="00B67C6A"/>
    <w:rsid w:val="00B71A62"/>
    <w:rsid w:val="00B73296"/>
    <w:rsid w:val="00B7490E"/>
    <w:rsid w:val="00B87E67"/>
    <w:rsid w:val="00BA13A1"/>
    <w:rsid w:val="00BA2C02"/>
    <w:rsid w:val="00BA33E7"/>
    <w:rsid w:val="00BB3C04"/>
    <w:rsid w:val="00BC3FA8"/>
    <w:rsid w:val="00BC4A2C"/>
    <w:rsid w:val="00BC6460"/>
    <w:rsid w:val="00BC79B0"/>
    <w:rsid w:val="00BD1F3D"/>
    <w:rsid w:val="00BD342F"/>
    <w:rsid w:val="00BE4EBD"/>
    <w:rsid w:val="00BF33F9"/>
    <w:rsid w:val="00BF4653"/>
    <w:rsid w:val="00BF4CBC"/>
    <w:rsid w:val="00BF6E5B"/>
    <w:rsid w:val="00BF70D9"/>
    <w:rsid w:val="00C01008"/>
    <w:rsid w:val="00C02B88"/>
    <w:rsid w:val="00C02C8D"/>
    <w:rsid w:val="00C06DA7"/>
    <w:rsid w:val="00C07562"/>
    <w:rsid w:val="00C079DB"/>
    <w:rsid w:val="00C07FCF"/>
    <w:rsid w:val="00C1230A"/>
    <w:rsid w:val="00C16E63"/>
    <w:rsid w:val="00C20B47"/>
    <w:rsid w:val="00C22371"/>
    <w:rsid w:val="00C22E78"/>
    <w:rsid w:val="00C24FD4"/>
    <w:rsid w:val="00C251FF"/>
    <w:rsid w:val="00C26208"/>
    <w:rsid w:val="00C27FB2"/>
    <w:rsid w:val="00C31F99"/>
    <w:rsid w:val="00C50366"/>
    <w:rsid w:val="00C5332F"/>
    <w:rsid w:val="00C55AA6"/>
    <w:rsid w:val="00C63DD4"/>
    <w:rsid w:val="00C65161"/>
    <w:rsid w:val="00C7051A"/>
    <w:rsid w:val="00C71555"/>
    <w:rsid w:val="00C72EDF"/>
    <w:rsid w:val="00C741E6"/>
    <w:rsid w:val="00C83737"/>
    <w:rsid w:val="00C83D5C"/>
    <w:rsid w:val="00C84A33"/>
    <w:rsid w:val="00C86226"/>
    <w:rsid w:val="00C87D11"/>
    <w:rsid w:val="00C93B90"/>
    <w:rsid w:val="00C97C9D"/>
    <w:rsid w:val="00CA22A4"/>
    <w:rsid w:val="00CA2436"/>
    <w:rsid w:val="00CA4997"/>
    <w:rsid w:val="00CA62E6"/>
    <w:rsid w:val="00CA6999"/>
    <w:rsid w:val="00CB23BC"/>
    <w:rsid w:val="00CB282E"/>
    <w:rsid w:val="00CB2F49"/>
    <w:rsid w:val="00CB40C2"/>
    <w:rsid w:val="00CB7900"/>
    <w:rsid w:val="00CD14B4"/>
    <w:rsid w:val="00CD1A66"/>
    <w:rsid w:val="00CD1AD2"/>
    <w:rsid w:val="00CD7A27"/>
    <w:rsid w:val="00CE3FD8"/>
    <w:rsid w:val="00CE5FBC"/>
    <w:rsid w:val="00CE7419"/>
    <w:rsid w:val="00CE7AEF"/>
    <w:rsid w:val="00CF3FE2"/>
    <w:rsid w:val="00CF4F8E"/>
    <w:rsid w:val="00CF7C65"/>
    <w:rsid w:val="00D02E26"/>
    <w:rsid w:val="00D03313"/>
    <w:rsid w:val="00D04869"/>
    <w:rsid w:val="00D1073A"/>
    <w:rsid w:val="00D10B79"/>
    <w:rsid w:val="00D15DC6"/>
    <w:rsid w:val="00D244D4"/>
    <w:rsid w:val="00D2611C"/>
    <w:rsid w:val="00D26A83"/>
    <w:rsid w:val="00D36DB9"/>
    <w:rsid w:val="00D37E23"/>
    <w:rsid w:val="00D4125D"/>
    <w:rsid w:val="00D425BB"/>
    <w:rsid w:val="00D43D31"/>
    <w:rsid w:val="00D45C41"/>
    <w:rsid w:val="00D50F3B"/>
    <w:rsid w:val="00D515DF"/>
    <w:rsid w:val="00D618D8"/>
    <w:rsid w:val="00D61C32"/>
    <w:rsid w:val="00D63503"/>
    <w:rsid w:val="00D63735"/>
    <w:rsid w:val="00D7406F"/>
    <w:rsid w:val="00D740C3"/>
    <w:rsid w:val="00D746B0"/>
    <w:rsid w:val="00D74C50"/>
    <w:rsid w:val="00D87109"/>
    <w:rsid w:val="00D94EBD"/>
    <w:rsid w:val="00DA1A63"/>
    <w:rsid w:val="00DA3F9A"/>
    <w:rsid w:val="00DA455B"/>
    <w:rsid w:val="00DA4637"/>
    <w:rsid w:val="00DA4999"/>
    <w:rsid w:val="00DB02A9"/>
    <w:rsid w:val="00DB0A06"/>
    <w:rsid w:val="00DB173C"/>
    <w:rsid w:val="00DB22B5"/>
    <w:rsid w:val="00DB58C7"/>
    <w:rsid w:val="00DB703B"/>
    <w:rsid w:val="00DC07E5"/>
    <w:rsid w:val="00DC6AB2"/>
    <w:rsid w:val="00DC77B6"/>
    <w:rsid w:val="00DD2DC8"/>
    <w:rsid w:val="00DD5D23"/>
    <w:rsid w:val="00DE0729"/>
    <w:rsid w:val="00DE0B08"/>
    <w:rsid w:val="00DE13E1"/>
    <w:rsid w:val="00DE5700"/>
    <w:rsid w:val="00DF5B2F"/>
    <w:rsid w:val="00DF6E4C"/>
    <w:rsid w:val="00E016CB"/>
    <w:rsid w:val="00E0258C"/>
    <w:rsid w:val="00E02885"/>
    <w:rsid w:val="00E06EB8"/>
    <w:rsid w:val="00E1410F"/>
    <w:rsid w:val="00E148FB"/>
    <w:rsid w:val="00E15CD5"/>
    <w:rsid w:val="00E23288"/>
    <w:rsid w:val="00E32EED"/>
    <w:rsid w:val="00E35E12"/>
    <w:rsid w:val="00E405A3"/>
    <w:rsid w:val="00E40934"/>
    <w:rsid w:val="00E40C5D"/>
    <w:rsid w:val="00E42C07"/>
    <w:rsid w:val="00E44B1D"/>
    <w:rsid w:val="00E5060B"/>
    <w:rsid w:val="00E615D3"/>
    <w:rsid w:val="00E66536"/>
    <w:rsid w:val="00E72913"/>
    <w:rsid w:val="00E913BB"/>
    <w:rsid w:val="00E91FA0"/>
    <w:rsid w:val="00EA65FF"/>
    <w:rsid w:val="00EA7460"/>
    <w:rsid w:val="00EC2139"/>
    <w:rsid w:val="00EC2E76"/>
    <w:rsid w:val="00EC552B"/>
    <w:rsid w:val="00ED4603"/>
    <w:rsid w:val="00EE04BC"/>
    <w:rsid w:val="00EE05F8"/>
    <w:rsid w:val="00EE2BAF"/>
    <w:rsid w:val="00EE60B1"/>
    <w:rsid w:val="00EF1532"/>
    <w:rsid w:val="00EF641D"/>
    <w:rsid w:val="00EF79B7"/>
    <w:rsid w:val="00F07001"/>
    <w:rsid w:val="00F071EC"/>
    <w:rsid w:val="00F07690"/>
    <w:rsid w:val="00F12391"/>
    <w:rsid w:val="00F129F1"/>
    <w:rsid w:val="00F1432B"/>
    <w:rsid w:val="00F17B59"/>
    <w:rsid w:val="00F23566"/>
    <w:rsid w:val="00F24245"/>
    <w:rsid w:val="00F2704A"/>
    <w:rsid w:val="00F3132B"/>
    <w:rsid w:val="00F32E6F"/>
    <w:rsid w:val="00F37A78"/>
    <w:rsid w:val="00F41B7F"/>
    <w:rsid w:val="00F5419F"/>
    <w:rsid w:val="00F54779"/>
    <w:rsid w:val="00F562DB"/>
    <w:rsid w:val="00F65BDF"/>
    <w:rsid w:val="00F671FD"/>
    <w:rsid w:val="00F72994"/>
    <w:rsid w:val="00F72C03"/>
    <w:rsid w:val="00F75F0E"/>
    <w:rsid w:val="00F80613"/>
    <w:rsid w:val="00F82734"/>
    <w:rsid w:val="00F828D5"/>
    <w:rsid w:val="00F84750"/>
    <w:rsid w:val="00F85D17"/>
    <w:rsid w:val="00F90E8C"/>
    <w:rsid w:val="00F9456F"/>
    <w:rsid w:val="00FA1412"/>
    <w:rsid w:val="00FA1A50"/>
    <w:rsid w:val="00FA215D"/>
    <w:rsid w:val="00FA7445"/>
    <w:rsid w:val="00FB4414"/>
    <w:rsid w:val="00FB5A07"/>
    <w:rsid w:val="00FC0939"/>
    <w:rsid w:val="00FC1C3E"/>
    <w:rsid w:val="00FC2351"/>
    <w:rsid w:val="00FC67BA"/>
    <w:rsid w:val="00FD0D98"/>
    <w:rsid w:val="00FD1230"/>
    <w:rsid w:val="00FD21A2"/>
    <w:rsid w:val="00FD5023"/>
    <w:rsid w:val="00FD7A3A"/>
    <w:rsid w:val="00FE3D59"/>
    <w:rsid w:val="0131500C"/>
    <w:rsid w:val="01443977"/>
    <w:rsid w:val="016B7590"/>
    <w:rsid w:val="01932C77"/>
    <w:rsid w:val="01C65827"/>
    <w:rsid w:val="01DE2276"/>
    <w:rsid w:val="01FA25B5"/>
    <w:rsid w:val="020470BD"/>
    <w:rsid w:val="02720D75"/>
    <w:rsid w:val="02DB3B0B"/>
    <w:rsid w:val="031A264B"/>
    <w:rsid w:val="03251170"/>
    <w:rsid w:val="03256363"/>
    <w:rsid w:val="03506F8B"/>
    <w:rsid w:val="0374488A"/>
    <w:rsid w:val="03832FE0"/>
    <w:rsid w:val="038B28CA"/>
    <w:rsid w:val="03A83C11"/>
    <w:rsid w:val="03C13B8C"/>
    <w:rsid w:val="03DA3667"/>
    <w:rsid w:val="03E93323"/>
    <w:rsid w:val="03EB7D49"/>
    <w:rsid w:val="03EC1289"/>
    <w:rsid w:val="04CF3BA0"/>
    <w:rsid w:val="04FC5FDF"/>
    <w:rsid w:val="05306EDB"/>
    <w:rsid w:val="0546376B"/>
    <w:rsid w:val="05475658"/>
    <w:rsid w:val="0559402C"/>
    <w:rsid w:val="05606EAD"/>
    <w:rsid w:val="056C0C02"/>
    <w:rsid w:val="059630FD"/>
    <w:rsid w:val="05CE1D2C"/>
    <w:rsid w:val="05E71A26"/>
    <w:rsid w:val="06031A15"/>
    <w:rsid w:val="06452994"/>
    <w:rsid w:val="065A0AA8"/>
    <w:rsid w:val="067B2C6E"/>
    <w:rsid w:val="06E9040D"/>
    <w:rsid w:val="06F56914"/>
    <w:rsid w:val="070A0799"/>
    <w:rsid w:val="0741515D"/>
    <w:rsid w:val="076C401E"/>
    <w:rsid w:val="08016D48"/>
    <w:rsid w:val="08094518"/>
    <w:rsid w:val="08266228"/>
    <w:rsid w:val="08311691"/>
    <w:rsid w:val="08357080"/>
    <w:rsid w:val="0838632E"/>
    <w:rsid w:val="08A90940"/>
    <w:rsid w:val="090A2F96"/>
    <w:rsid w:val="09974D4A"/>
    <w:rsid w:val="09ED5DD9"/>
    <w:rsid w:val="0A406CDE"/>
    <w:rsid w:val="0A4A0283"/>
    <w:rsid w:val="0A4D46ED"/>
    <w:rsid w:val="0ABC21F5"/>
    <w:rsid w:val="0AFB125E"/>
    <w:rsid w:val="0B034A12"/>
    <w:rsid w:val="0B1556C2"/>
    <w:rsid w:val="0B391DD4"/>
    <w:rsid w:val="0B552978"/>
    <w:rsid w:val="0CA96676"/>
    <w:rsid w:val="0CEC61AD"/>
    <w:rsid w:val="0CFB28EC"/>
    <w:rsid w:val="0D66632E"/>
    <w:rsid w:val="0D7D49F4"/>
    <w:rsid w:val="0DBB489B"/>
    <w:rsid w:val="0DD26A1D"/>
    <w:rsid w:val="0DE4683D"/>
    <w:rsid w:val="0E5871A6"/>
    <w:rsid w:val="0E673374"/>
    <w:rsid w:val="0E7B50FE"/>
    <w:rsid w:val="0E842961"/>
    <w:rsid w:val="0EC61EC1"/>
    <w:rsid w:val="0EDE2D18"/>
    <w:rsid w:val="0EEF3B64"/>
    <w:rsid w:val="0F1536BF"/>
    <w:rsid w:val="0F93270D"/>
    <w:rsid w:val="0FD62D0E"/>
    <w:rsid w:val="0FDF1824"/>
    <w:rsid w:val="0FE21B6E"/>
    <w:rsid w:val="0FF67B04"/>
    <w:rsid w:val="0FFD7217"/>
    <w:rsid w:val="107B5BCC"/>
    <w:rsid w:val="10960DC9"/>
    <w:rsid w:val="10AF5D46"/>
    <w:rsid w:val="10BC358D"/>
    <w:rsid w:val="10CF6011"/>
    <w:rsid w:val="10F6726C"/>
    <w:rsid w:val="11696A42"/>
    <w:rsid w:val="11843E41"/>
    <w:rsid w:val="11883FFD"/>
    <w:rsid w:val="118A2E7A"/>
    <w:rsid w:val="11AC7E82"/>
    <w:rsid w:val="11C64FEE"/>
    <w:rsid w:val="11C843F7"/>
    <w:rsid w:val="11D4715D"/>
    <w:rsid w:val="11FC2AAA"/>
    <w:rsid w:val="12723006"/>
    <w:rsid w:val="127E21A1"/>
    <w:rsid w:val="12872008"/>
    <w:rsid w:val="137273A7"/>
    <w:rsid w:val="13951846"/>
    <w:rsid w:val="139F027F"/>
    <w:rsid w:val="13FC23D7"/>
    <w:rsid w:val="14035C22"/>
    <w:rsid w:val="14452400"/>
    <w:rsid w:val="14B2312F"/>
    <w:rsid w:val="14B75DF9"/>
    <w:rsid w:val="14BC506C"/>
    <w:rsid w:val="14D317E3"/>
    <w:rsid w:val="14DB298D"/>
    <w:rsid w:val="14F72527"/>
    <w:rsid w:val="15086432"/>
    <w:rsid w:val="150E5761"/>
    <w:rsid w:val="151F0E97"/>
    <w:rsid w:val="153D66A5"/>
    <w:rsid w:val="156C5E8A"/>
    <w:rsid w:val="1574553F"/>
    <w:rsid w:val="157C7CE0"/>
    <w:rsid w:val="158F4E06"/>
    <w:rsid w:val="15A31FCE"/>
    <w:rsid w:val="160D213A"/>
    <w:rsid w:val="16955AC5"/>
    <w:rsid w:val="16E27983"/>
    <w:rsid w:val="172640E3"/>
    <w:rsid w:val="17384171"/>
    <w:rsid w:val="173C28CE"/>
    <w:rsid w:val="17DA3931"/>
    <w:rsid w:val="17EE1239"/>
    <w:rsid w:val="18865B01"/>
    <w:rsid w:val="18AF6646"/>
    <w:rsid w:val="18B04D96"/>
    <w:rsid w:val="18BA63CD"/>
    <w:rsid w:val="18CC1406"/>
    <w:rsid w:val="18E131C2"/>
    <w:rsid w:val="191C1DB3"/>
    <w:rsid w:val="193B301E"/>
    <w:rsid w:val="197F64CD"/>
    <w:rsid w:val="19B01CBC"/>
    <w:rsid w:val="19B5040F"/>
    <w:rsid w:val="19C34AE9"/>
    <w:rsid w:val="19DF6CE7"/>
    <w:rsid w:val="1A3C5B8E"/>
    <w:rsid w:val="1A6C3063"/>
    <w:rsid w:val="1A7F2670"/>
    <w:rsid w:val="1AD7714B"/>
    <w:rsid w:val="1AE35532"/>
    <w:rsid w:val="1AEA7FFB"/>
    <w:rsid w:val="1AF4744D"/>
    <w:rsid w:val="1B337C00"/>
    <w:rsid w:val="1B354368"/>
    <w:rsid w:val="1B8C03EB"/>
    <w:rsid w:val="1BC62FE8"/>
    <w:rsid w:val="1C1115E8"/>
    <w:rsid w:val="1C247CDC"/>
    <w:rsid w:val="1C457956"/>
    <w:rsid w:val="1C816837"/>
    <w:rsid w:val="1C8F2301"/>
    <w:rsid w:val="1C9563DF"/>
    <w:rsid w:val="1CA04270"/>
    <w:rsid w:val="1CB024E4"/>
    <w:rsid w:val="1D215A64"/>
    <w:rsid w:val="1D353067"/>
    <w:rsid w:val="1D3F6288"/>
    <w:rsid w:val="1D48641F"/>
    <w:rsid w:val="1D8A3D11"/>
    <w:rsid w:val="1E1A49D6"/>
    <w:rsid w:val="1E9F2712"/>
    <w:rsid w:val="1EEB6F6F"/>
    <w:rsid w:val="1F116E84"/>
    <w:rsid w:val="1F6E01F2"/>
    <w:rsid w:val="1F6E2E75"/>
    <w:rsid w:val="20813904"/>
    <w:rsid w:val="20B34DDF"/>
    <w:rsid w:val="20F01A5A"/>
    <w:rsid w:val="21055577"/>
    <w:rsid w:val="211D7910"/>
    <w:rsid w:val="21A5334D"/>
    <w:rsid w:val="21E84241"/>
    <w:rsid w:val="21ED4A63"/>
    <w:rsid w:val="21F82C9D"/>
    <w:rsid w:val="222452FB"/>
    <w:rsid w:val="222D6958"/>
    <w:rsid w:val="224E78D1"/>
    <w:rsid w:val="22B5525D"/>
    <w:rsid w:val="22CD5C3B"/>
    <w:rsid w:val="2303449F"/>
    <w:rsid w:val="230622D8"/>
    <w:rsid w:val="233C4395"/>
    <w:rsid w:val="236A301E"/>
    <w:rsid w:val="23794B36"/>
    <w:rsid w:val="23ED335C"/>
    <w:rsid w:val="24174BC0"/>
    <w:rsid w:val="241C07DA"/>
    <w:rsid w:val="2432583E"/>
    <w:rsid w:val="24A67A27"/>
    <w:rsid w:val="253528C3"/>
    <w:rsid w:val="25466629"/>
    <w:rsid w:val="2572531D"/>
    <w:rsid w:val="25782BE6"/>
    <w:rsid w:val="25CB376C"/>
    <w:rsid w:val="25F214FE"/>
    <w:rsid w:val="2608437A"/>
    <w:rsid w:val="26392591"/>
    <w:rsid w:val="26501050"/>
    <w:rsid w:val="267411F1"/>
    <w:rsid w:val="268C595E"/>
    <w:rsid w:val="269D0C95"/>
    <w:rsid w:val="26B256E5"/>
    <w:rsid w:val="26BC237A"/>
    <w:rsid w:val="26DE1D2F"/>
    <w:rsid w:val="2700181D"/>
    <w:rsid w:val="27022A12"/>
    <w:rsid w:val="270905CF"/>
    <w:rsid w:val="270946B8"/>
    <w:rsid w:val="2710607B"/>
    <w:rsid w:val="27517D77"/>
    <w:rsid w:val="27622BFC"/>
    <w:rsid w:val="2773325B"/>
    <w:rsid w:val="27893B90"/>
    <w:rsid w:val="2794459F"/>
    <w:rsid w:val="27DD77FC"/>
    <w:rsid w:val="27DE6DD1"/>
    <w:rsid w:val="27F20986"/>
    <w:rsid w:val="27F81AEC"/>
    <w:rsid w:val="28464781"/>
    <w:rsid w:val="286528A8"/>
    <w:rsid w:val="28D17173"/>
    <w:rsid w:val="290C7101"/>
    <w:rsid w:val="292E59BC"/>
    <w:rsid w:val="294C7A4D"/>
    <w:rsid w:val="298A664D"/>
    <w:rsid w:val="299801D2"/>
    <w:rsid w:val="299D4613"/>
    <w:rsid w:val="29AE6AFB"/>
    <w:rsid w:val="2A2A7720"/>
    <w:rsid w:val="2A6748B4"/>
    <w:rsid w:val="2A8B08F5"/>
    <w:rsid w:val="2A901226"/>
    <w:rsid w:val="2AC7704F"/>
    <w:rsid w:val="2AD5483A"/>
    <w:rsid w:val="2AE26999"/>
    <w:rsid w:val="2B916D6F"/>
    <w:rsid w:val="2B925740"/>
    <w:rsid w:val="2BAF0ACC"/>
    <w:rsid w:val="2BB8308E"/>
    <w:rsid w:val="2BD44C64"/>
    <w:rsid w:val="2BDA07FB"/>
    <w:rsid w:val="2BE023C4"/>
    <w:rsid w:val="2BE97BF3"/>
    <w:rsid w:val="2C290EE9"/>
    <w:rsid w:val="2C49545E"/>
    <w:rsid w:val="2C8E5703"/>
    <w:rsid w:val="2CEF0F48"/>
    <w:rsid w:val="2D5D490F"/>
    <w:rsid w:val="2D631DCE"/>
    <w:rsid w:val="2D7A5DEE"/>
    <w:rsid w:val="2D824025"/>
    <w:rsid w:val="2D9119A0"/>
    <w:rsid w:val="2D9B2143"/>
    <w:rsid w:val="2D9D04C6"/>
    <w:rsid w:val="2DDD0A4F"/>
    <w:rsid w:val="2E386C91"/>
    <w:rsid w:val="2E3C4B01"/>
    <w:rsid w:val="2E6250B1"/>
    <w:rsid w:val="2E631A11"/>
    <w:rsid w:val="2E8B53DC"/>
    <w:rsid w:val="2E9D5B5B"/>
    <w:rsid w:val="2E9F1C18"/>
    <w:rsid w:val="2ED459A7"/>
    <w:rsid w:val="2F030E96"/>
    <w:rsid w:val="2F1A33AB"/>
    <w:rsid w:val="2F3249B4"/>
    <w:rsid w:val="2F3F3A54"/>
    <w:rsid w:val="2F495311"/>
    <w:rsid w:val="2F4B4597"/>
    <w:rsid w:val="2F712730"/>
    <w:rsid w:val="2F934E41"/>
    <w:rsid w:val="2FBB03CA"/>
    <w:rsid w:val="302E1FC3"/>
    <w:rsid w:val="303816EE"/>
    <w:rsid w:val="307A4D41"/>
    <w:rsid w:val="30B3726A"/>
    <w:rsid w:val="30ED01EA"/>
    <w:rsid w:val="31427E52"/>
    <w:rsid w:val="314731B3"/>
    <w:rsid w:val="316D09F3"/>
    <w:rsid w:val="31740A08"/>
    <w:rsid w:val="31A65636"/>
    <w:rsid w:val="31A87843"/>
    <w:rsid w:val="31AE68AD"/>
    <w:rsid w:val="31F914C6"/>
    <w:rsid w:val="32361AA0"/>
    <w:rsid w:val="332500A0"/>
    <w:rsid w:val="332C0003"/>
    <w:rsid w:val="33494DBF"/>
    <w:rsid w:val="336B2D18"/>
    <w:rsid w:val="33727F03"/>
    <w:rsid w:val="33C07ECD"/>
    <w:rsid w:val="33F600EF"/>
    <w:rsid w:val="34797A33"/>
    <w:rsid w:val="34977848"/>
    <w:rsid w:val="34D21684"/>
    <w:rsid w:val="34D30033"/>
    <w:rsid w:val="34E226EB"/>
    <w:rsid w:val="350E0585"/>
    <w:rsid w:val="351A0C69"/>
    <w:rsid w:val="35305A62"/>
    <w:rsid w:val="354A67D9"/>
    <w:rsid w:val="3553783D"/>
    <w:rsid w:val="35880030"/>
    <w:rsid w:val="358B0EC8"/>
    <w:rsid w:val="35BC40C7"/>
    <w:rsid w:val="35E76BA7"/>
    <w:rsid w:val="36132DCF"/>
    <w:rsid w:val="36344EC4"/>
    <w:rsid w:val="364C167A"/>
    <w:rsid w:val="36511C76"/>
    <w:rsid w:val="36933277"/>
    <w:rsid w:val="37224782"/>
    <w:rsid w:val="376A0BB7"/>
    <w:rsid w:val="37767C7F"/>
    <w:rsid w:val="37A4451C"/>
    <w:rsid w:val="37C248DD"/>
    <w:rsid w:val="38486348"/>
    <w:rsid w:val="38530F31"/>
    <w:rsid w:val="387D20CB"/>
    <w:rsid w:val="388300F9"/>
    <w:rsid w:val="38994AFE"/>
    <w:rsid w:val="38C931A0"/>
    <w:rsid w:val="39071D04"/>
    <w:rsid w:val="39253324"/>
    <w:rsid w:val="392B046A"/>
    <w:rsid w:val="399867D4"/>
    <w:rsid w:val="39B32493"/>
    <w:rsid w:val="39B458E6"/>
    <w:rsid w:val="39B45EBA"/>
    <w:rsid w:val="39E71D09"/>
    <w:rsid w:val="3A2A11DE"/>
    <w:rsid w:val="3A575A58"/>
    <w:rsid w:val="3A6B5C60"/>
    <w:rsid w:val="3A8914E6"/>
    <w:rsid w:val="3AE84B6B"/>
    <w:rsid w:val="3AEF7D1D"/>
    <w:rsid w:val="3AFE72CE"/>
    <w:rsid w:val="3B8232BA"/>
    <w:rsid w:val="3B8A4DA1"/>
    <w:rsid w:val="3BA06F90"/>
    <w:rsid w:val="3BB73C7D"/>
    <w:rsid w:val="3BDC750F"/>
    <w:rsid w:val="3BE05C4E"/>
    <w:rsid w:val="3C1B2BD0"/>
    <w:rsid w:val="3C471360"/>
    <w:rsid w:val="3C651A44"/>
    <w:rsid w:val="3C703079"/>
    <w:rsid w:val="3C8F1212"/>
    <w:rsid w:val="3C986D84"/>
    <w:rsid w:val="3CDC0F0B"/>
    <w:rsid w:val="3CE1071C"/>
    <w:rsid w:val="3CF155AE"/>
    <w:rsid w:val="3D0D1EA0"/>
    <w:rsid w:val="3D1130DE"/>
    <w:rsid w:val="3D303F49"/>
    <w:rsid w:val="3D320EF4"/>
    <w:rsid w:val="3D5B6986"/>
    <w:rsid w:val="3D6E539C"/>
    <w:rsid w:val="3D851423"/>
    <w:rsid w:val="3E311112"/>
    <w:rsid w:val="3E456303"/>
    <w:rsid w:val="3E4B44ED"/>
    <w:rsid w:val="3E6341C1"/>
    <w:rsid w:val="3E8A16CF"/>
    <w:rsid w:val="3EAB2F56"/>
    <w:rsid w:val="3F385C20"/>
    <w:rsid w:val="3F3E131C"/>
    <w:rsid w:val="3F622953"/>
    <w:rsid w:val="3F86437E"/>
    <w:rsid w:val="3F973D36"/>
    <w:rsid w:val="3FA61139"/>
    <w:rsid w:val="3FAC0F7C"/>
    <w:rsid w:val="3FB17EE9"/>
    <w:rsid w:val="3FB27734"/>
    <w:rsid w:val="3FCC078E"/>
    <w:rsid w:val="3FF47D5A"/>
    <w:rsid w:val="404C4A6B"/>
    <w:rsid w:val="40663677"/>
    <w:rsid w:val="40A208E6"/>
    <w:rsid w:val="40AB1576"/>
    <w:rsid w:val="40AF31D7"/>
    <w:rsid w:val="40F63EC9"/>
    <w:rsid w:val="41096027"/>
    <w:rsid w:val="411E7ED4"/>
    <w:rsid w:val="41953407"/>
    <w:rsid w:val="41B71E12"/>
    <w:rsid w:val="41E34416"/>
    <w:rsid w:val="41ED72A8"/>
    <w:rsid w:val="41F435D5"/>
    <w:rsid w:val="4216252B"/>
    <w:rsid w:val="4243439C"/>
    <w:rsid w:val="429A795D"/>
    <w:rsid w:val="42A37E91"/>
    <w:rsid w:val="42A557B4"/>
    <w:rsid w:val="42EE1FD3"/>
    <w:rsid w:val="4312792A"/>
    <w:rsid w:val="43143C5A"/>
    <w:rsid w:val="43372A3A"/>
    <w:rsid w:val="439C0DAB"/>
    <w:rsid w:val="440B6F5E"/>
    <w:rsid w:val="441C79BB"/>
    <w:rsid w:val="44410F5D"/>
    <w:rsid w:val="447A494F"/>
    <w:rsid w:val="44950A1C"/>
    <w:rsid w:val="449556E6"/>
    <w:rsid w:val="44F601D7"/>
    <w:rsid w:val="45022E64"/>
    <w:rsid w:val="45387605"/>
    <w:rsid w:val="459803C2"/>
    <w:rsid w:val="45ED5700"/>
    <w:rsid w:val="46020F64"/>
    <w:rsid w:val="46394EFB"/>
    <w:rsid w:val="46513EB8"/>
    <w:rsid w:val="46845757"/>
    <w:rsid w:val="46FE142F"/>
    <w:rsid w:val="470B4B23"/>
    <w:rsid w:val="470C5CDF"/>
    <w:rsid w:val="471529C4"/>
    <w:rsid w:val="471733BD"/>
    <w:rsid w:val="475506BA"/>
    <w:rsid w:val="4785420A"/>
    <w:rsid w:val="47BA7AB6"/>
    <w:rsid w:val="47DA11A3"/>
    <w:rsid w:val="47F22A8F"/>
    <w:rsid w:val="482663D3"/>
    <w:rsid w:val="48272B1C"/>
    <w:rsid w:val="482B7039"/>
    <w:rsid w:val="48335DC3"/>
    <w:rsid w:val="48481AFA"/>
    <w:rsid w:val="48583D6E"/>
    <w:rsid w:val="4864176F"/>
    <w:rsid w:val="489D1478"/>
    <w:rsid w:val="48A40FCA"/>
    <w:rsid w:val="48BB3465"/>
    <w:rsid w:val="48BE48A2"/>
    <w:rsid w:val="48C80C91"/>
    <w:rsid w:val="48E61EAC"/>
    <w:rsid w:val="494F25DC"/>
    <w:rsid w:val="496A1F2B"/>
    <w:rsid w:val="49BE312E"/>
    <w:rsid w:val="49D1174A"/>
    <w:rsid w:val="49D64A49"/>
    <w:rsid w:val="49E016B7"/>
    <w:rsid w:val="49E53AB8"/>
    <w:rsid w:val="4A4A5A17"/>
    <w:rsid w:val="4A4C4227"/>
    <w:rsid w:val="4A4E1A72"/>
    <w:rsid w:val="4A616F08"/>
    <w:rsid w:val="4AB5159D"/>
    <w:rsid w:val="4ACA76AF"/>
    <w:rsid w:val="4B3A78CF"/>
    <w:rsid w:val="4B7B0777"/>
    <w:rsid w:val="4B7F05ED"/>
    <w:rsid w:val="4B963064"/>
    <w:rsid w:val="4BC5733D"/>
    <w:rsid w:val="4BC67FE8"/>
    <w:rsid w:val="4BF7614E"/>
    <w:rsid w:val="4C2B3C09"/>
    <w:rsid w:val="4C305B10"/>
    <w:rsid w:val="4C580EF5"/>
    <w:rsid w:val="4C681041"/>
    <w:rsid w:val="4C7F6A43"/>
    <w:rsid w:val="4C8C1BC2"/>
    <w:rsid w:val="4CBE402B"/>
    <w:rsid w:val="4CD51186"/>
    <w:rsid w:val="4CEB6A17"/>
    <w:rsid w:val="4D353681"/>
    <w:rsid w:val="4DA953CA"/>
    <w:rsid w:val="4DAE1474"/>
    <w:rsid w:val="4DBA5839"/>
    <w:rsid w:val="4DEC1DE1"/>
    <w:rsid w:val="4DF36892"/>
    <w:rsid w:val="4DFB69E3"/>
    <w:rsid w:val="4E126E4F"/>
    <w:rsid w:val="4E1E1996"/>
    <w:rsid w:val="4E3E44A1"/>
    <w:rsid w:val="4E57355A"/>
    <w:rsid w:val="4E5F3A76"/>
    <w:rsid w:val="4E75155C"/>
    <w:rsid w:val="4EB22F16"/>
    <w:rsid w:val="4ECE2C7F"/>
    <w:rsid w:val="4EF10C88"/>
    <w:rsid w:val="4F0F30AF"/>
    <w:rsid w:val="4F211422"/>
    <w:rsid w:val="4F5F5848"/>
    <w:rsid w:val="4F7F2E1B"/>
    <w:rsid w:val="4FEF6B13"/>
    <w:rsid w:val="50071F67"/>
    <w:rsid w:val="50142FE2"/>
    <w:rsid w:val="50234176"/>
    <w:rsid w:val="50284C46"/>
    <w:rsid w:val="505C1743"/>
    <w:rsid w:val="50C97A9E"/>
    <w:rsid w:val="50D4654A"/>
    <w:rsid w:val="50F45BC5"/>
    <w:rsid w:val="50F92BCB"/>
    <w:rsid w:val="51224E71"/>
    <w:rsid w:val="512E275A"/>
    <w:rsid w:val="512F19F6"/>
    <w:rsid w:val="51375DBD"/>
    <w:rsid w:val="515D3A6D"/>
    <w:rsid w:val="516E001D"/>
    <w:rsid w:val="519225FE"/>
    <w:rsid w:val="51AF20F0"/>
    <w:rsid w:val="51B55FE4"/>
    <w:rsid w:val="51E60C11"/>
    <w:rsid w:val="52552FF5"/>
    <w:rsid w:val="52600EA9"/>
    <w:rsid w:val="52617BA3"/>
    <w:rsid w:val="52680626"/>
    <w:rsid w:val="52986DB6"/>
    <w:rsid w:val="534D439D"/>
    <w:rsid w:val="5358672B"/>
    <w:rsid w:val="538C62A0"/>
    <w:rsid w:val="53D51C87"/>
    <w:rsid w:val="53FB3E57"/>
    <w:rsid w:val="53FE1872"/>
    <w:rsid w:val="542062E8"/>
    <w:rsid w:val="543A3D3A"/>
    <w:rsid w:val="54635589"/>
    <w:rsid w:val="54645B98"/>
    <w:rsid w:val="54660641"/>
    <w:rsid w:val="55120E44"/>
    <w:rsid w:val="555B542E"/>
    <w:rsid w:val="557C2FB2"/>
    <w:rsid w:val="55996011"/>
    <w:rsid w:val="55A11525"/>
    <w:rsid w:val="55D56095"/>
    <w:rsid w:val="55F06CBA"/>
    <w:rsid w:val="561E3F37"/>
    <w:rsid w:val="56332B59"/>
    <w:rsid w:val="567A2F39"/>
    <w:rsid w:val="567E4E4B"/>
    <w:rsid w:val="567F49EB"/>
    <w:rsid w:val="56FB3D99"/>
    <w:rsid w:val="57177638"/>
    <w:rsid w:val="57486758"/>
    <w:rsid w:val="575C50B7"/>
    <w:rsid w:val="57624B35"/>
    <w:rsid w:val="576D412A"/>
    <w:rsid w:val="57737641"/>
    <w:rsid w:val="579E2A28"/>
    <w:rsid w:val="57A91897"/>
    <w:rsid w:val="58AC0185"/>
    <w:rsid w:val="58EA0BE5"/>
    <w:rsid w:val="58F016BB"/>
    <w:rsid w:val="59130FF2"/>
    <w:rsid w:val="592474A6"/>
    <w:rsid w:val="59303C78"/>
    <w:rsid w:val="593F1BEF"/>
    <w:rsid w:val="596B611B"/>
    <w:rsid w:val="59A8743A"/>
    <w:rsid w:val="59E94EA9"/>
    <w:rsid w:val="5A1F3975"/>
    <w:rsid w:val="5ABB09E5"/>
    <w:rsid w:val="5ABB64EF"/>
    <w:rsid w:val="5ACD2CD0"/>
    <w:rsid w:val="5AF06059"/>
    <w:rsid w:val="5AFE211C"/>
    <w:rsid w:val="5B155EB8"/>
    <w:rsid w:val="5B370A9C"/>
    <w:rsid w:val="5B51664F"/>
    <w:rsid w:val="5B5F7AD8"/>
    <w:rsid w:val="5B6577EB"/>
    <w:rsid w:val="5B7C232A"/>
    <w:rsid w:val="5B851C9D"/>
    <w:rsid w:val="5B9E61CF"/>
    <w:rsid w:val="5BDA6E67"/>
    <w:rsid w:val="5BE320C1"/>
    <w:rsid w:val="5C2A0DD6"/>
    <w:rsid w:val="5C477CC3"/>
    <w:rsid w:val="5C823902"/>
    <w:rsid w:val="5CBA68B7"/>
    <w:rsid w:val="5D4D3A45"/>
    <w:rsid w:val="5D5D4DFA"/>
    <w:rsid w:val="5D716268"/>
    <w:rsid w:val="5D7A273E"/>
    <w:rsid w:val="5DB12259"/>
    <w:rsid w:val="5DEC2B95"/>
    <w:rsid w:val="5E011472"/>
    <w:rsid w:val="5E095F95"/>
    <w:rsid w:val="5E102B9E"/>
    <w:rsid w:val="5E1603BB"/>
    <w:rsid w:val="5E403C07"/>
    <w:rsid w:val="5E5555E5"/>
    <w:rsid w:val="5E626394"/>
    <w:rsid w:val="5E7E58C8"/>
    <w:rsid w:val="5EB9136D"/>
    <w:rsid w:val="5EFE664D"/>
    <w:rsid w:val="5F296537"/>
    <w:rsid w:val="5F311068"/>
    <w:rsid w:val="5F356542"/>
    <w:rsid w:val="5F737E07"/>
    <w:rsid w:val="5FE361D1"/>
    <w:rsid w:val="5FF36585"/>
    <w:rsid w:val="5FF9347C"/>
    <w:rsid w:val="602213D9"/>
    <w:rsid w:val="60724FF0"/>
    <w:rsid w:val="60BA555D"/>
    <w:rsid w:val="60CC5C3F"/>
    <w:rsid w:val="613C4364"/>
    <w:rsid w:val="615C0DB6"/>
    <w:rsid w:val="61640EAF"/>
    <w:rsid w:val="61725A89"/>
    <w:rsid w:val="6184113E"/>
    <w:rsid w:val="61B40846"/>
    <w:rsid w:val="61B7365D"/>
    <w:rsid w:val="61E52DA1"/>
    <w:rsid w:val="627B12C8"/>
    <w:rsid w:val="62A677F1"/>
    <w:rsid w:val="62B8550C"/>
    <w:rsid w:val="62F271C4"/>
    <w:rsid w:val="63237DDF"/>
    <w:rsid w:val="63251A3C"/>
    <w:rsid w:val="634E13B9"/>
    <w:rsid w:val="63595799"/>
    <w:rsid w:val="63C51A6C"/>
    <w:rsid w:val="63C91C9F"/>
    <w:rsid w:val="63D738D7"/>
    <w:rsid w:val="63F07079"/>
    <w:rsid w:val="63FA1A3A"/>
    <w:rsid w:val="641B625F"/>
    <w:rsid w:val="648521DE"/>
    <w:rsid w:val="650C515E"/>
    <w:rsid w:val="652C0F4F"/>
    <w:rsid w:val="661A2483"/>
    <w:rsid w:val="66255219"/>
    <w:rsid w:val="662F6E20"/>
    <w:rsid w:val="664066C4"/>
    <w:rsid w:val="66684C9A"/>
    <w:rsid w:val="668F368C"/>
    <w:rsid w:val="669318FD"/>
    <w:rsid w:val="672556A7"/>
    <w:rsid w:val="673454DF"/>
    <w:rsid w:val="674A2F9B"/>
    <w:rsid w:val="67544BDF"/>
    <w:rsid w:val="67592524"/>
    <w:rsid w:val="677962DA"/>
    <w:rsid w:val="677C26B3"/>
    <w:rsid w:val="677F51D9"/>
    <w:rsid w:val="67B50543"/>
    <w:rsid w:val="67C32441"/>
    <w:rsid w:val="67DA5D34"/>
    <w:rsid w:val="67E930D9"/>
    <w:rsid w:val="68012DA3"/>
    <w:rsid w:val="680B4A94"/>
    <w:rsid w:val="681365D3"/>
    <w:rsid w:val="683F0AFB"/>
    <w:rsid w:val="685E0854"/>
    <w:rsid w:val="68A41EA6"/>
    <w:rsid w:val="68B13501"/>
    <w:rsid w:val="68C661DC"/>
    <w:rsid w:val="68CC1946"/>
    <w:rsid w:val="691133FB"/>
    <w:rsid w:val="692D586E"/>
    <w:rsid w:val="69687EF2"/>
    <w:rsid w:val="699013C0"/>
    <w:rsid w:val="69CA10FE"/>
    <w:rsid w:val="69EA654E"/>
    <w:rsid w:val="6A4725D6"/>
    <w:rsid w:val="6A6A3402"/>
    <w:rsid w:val="6AA437E2"/>
    <w:rsid w:val="6AF358BC"/>
    <w:rsid w:val="6B14239B"/>
    <w:rsid w:val="6BA25045"/>
    <w:rsid w:val="6BBC16EA"/>
    <w:rsid w:val="6BE07CA7"/>
    <w:rsid w:val="6C020123"/>
    <w:rsid w:val="6C1E7C15"/>
    <w:rsid w:val="6C1F3B7E"/>
    <w:rsid w:val="6C3644EE"/>
    <w:rsid w:val="6C4B7630"/>
    <w:rsid w:val="6CA411A1"/>
    <w:rsid w:val="6CA62463"/>
    <w:rsid w:val="6CCF4764"/>
    <w:rsid w:val="6CE634DE"/>
    <w:rsid w:val="6D073E5D"/>
    <w:rsid w:val="6D2A0EA4"/>
    <w:rsid w:val="6D512240"/>
    <w:rsid w:val="6D562087"/>
    <w:rsid w:val="6D813353"/>
    <w:rsid w:val="6D8201F2"/>
    <w:rsid w:val="6D9E6FB7"/>
    <w:rsid w:val="6DA442D7"/>
    <w:rsid w:val="6DA47C00"/>
    <w:rsid w:val="6E2A79BB"/>
    <w:rsid w:val="6E6317EF"/>
    <w:rsid w:val="6E72188B"/>
    <w:rsid w:val="6E926CE2"/>
    <w:rsid w:val="6EEC6136"/>
    <w:rsid w:val="6F122CAE"/>
    <w:rsid w:val="6F4C5418"/>
    <w:rsid w:val="6F6302E3"/>
    <w:rsid w:val="6FAC1DBE"/>
    <w:rsid w:val="701400F4"/>
    <w:rsid w:val="703351BB"/>
    <w:rsid w:val="704F6369"/>
    <w:rsid w:val="70CB2C01"/>
    <w:rsid w:val="71003BA1"/>
    <w:rsid w:val="715538E6"/>
    <w:rsid w:val="71AD2EA1"/>
    <w:rsid w:val="72060B65"/>
    <w:rsid w:val="721D27CE"/>
    <w:rsid w:val="723A7DE6"/>
    <w:rsid w:val="723F0BB7"/>
    <w:rsid w:val="72630342"/>
    <w:rsid w:val="727B06D1"/>
    <w:rsid w:val="729657E8"/>
    <w:rsid w:val="72B03B2C"/>
    <w:rsid w:val="72E22DC1"/>
    <w:rsid w:val="732F4EDE"/>
    <w:rsid w:val="73335A5F"/>
    <w:rsid w:val="73482F73"/>
    <w:rsid w:val="73540F18"/>
    <w:rsid w:val="73616BC6"/>
    <w:rsid w:val="737433F3"/>
    <w:rsid w:val="73D31304"/>
    <w:rsid w:val="74091146"/>
    <w:rsid w:val="743063BB"/>
    <w:rsid w:val="745D01C0"/>
    <w:rsid w:val="7460336D"/>
    <w:rsid w:val="74611D52"/>
    <w:rsid w:val="74807501"/>
    <w:rsid w:val="748E487E"/>
    <w:rsid w:val="74AB3D5B"/>
    <w:rsid w:val="74D609B1"/>
    <w:rsid w:val="751F5F3B"/>
    <w:rsid w:val="752713DD"/>
    <w:rsid w:val="75356E46"/>
    <w:rsid w:val="75C16ED7"/>
    <w:rsid w:val="75D64684"/>
    <w:rsid w:val="75D92AA6"/>
    <w:rsid w:val="75F77DA1"/>
    <w:rsid w:val="76140B39"/>
    <w:rsid w:val="763A4F82"/>
    <w:rsid w:val="764B6579"/>
    <w:rsid w:val="76573B18"/>
    <w:rsid w:val="765C45DF"/>
    <w:rsid w:val="766974D7"/>
    <w:rsid w:val="76D253B3"/>
    <w:rsid w:val="76E56169"/>
    <w:rsid w:val="77146988"/>
    <w:rsid w:val="77B779FF"/>
    <w:rsid w:val="77C70A58"/>
    <w:rsid w:val="77D95C96"/>
    <w:rsid w:val="782E54F9"/>
    <w:rsid w:val="785F2D73"/>
    <w:rsid w:val="786227C1"/>
    <w:rsid w:val="789B20FC"/>
    <w:rsid w:val="78E36E45"/>
    <w:rsid w:val="790852FF"/>
    <w:rsid w:val="79137DFA"/>
    <w:rsid w:val="791911D3"/>
    <w:rsid w:val="792A51E4"/>
    <w:rsid w:val="79455A7A"/>
    <w:rsid w:val="79553F7A"/>
    <w:rsid w:val="797E3BA8"/>
    <w:rsid w:val="79B86457"/>
    <w:rsid w:val="79D23A4E"/>
    <w:rsid w:val="79F565DA"/>
    <w:rsid w:val="7A133FEF"/>
    <w:rsid w:val="7A143712"/>
    <w:rsid w:val="7A14767F"/>
    <w:rsid w:val="7A48314A"/>
    <w:rsid w:val="7A5F6578"/>
    <w:rsid w:val="7A814DAD"/>
    <w:rsid w:val="7AA73E97"/>
    <w:rsid w:val="7ACB4121"/>
    <w:rsid w:val="7ACF75AB"/>
    <w:rsid w:val="7AD30E57"/>
    <w:rsid w:val="7AD8187C"/>
    <w:rsid w:val="7B4D6F27"/>
    <w:rsid w:val="7B690260"/>
    <w:rsid w:val="7BA040FE"/>
    <w:rsid w:val="7BA45F19"/>
    <w:rsid w:val="7BF26625"/>
    <w:rsid w:val="7C283D20"/>
    <w:rsid w:val="7C7C1BAE"/>
    <w:rsid w:val="7C7E1B6A"/>
    <w:rsid w:val="7C7E6432"/>
    <w:rsid w:val="7CDE719E"/>
    <w:rsid w:val="7CE37804"/>
    <w:rsid w:val="7D775AC3"/>
    <w:rsid w:val="7D9A0650"/>
    <w:rsid w:val="7DD537EE"/>
    <w:rsid w:val="7DFF035D"/>
    <w:rsid w:val="7E1D21C5"/>
    <w:rsid w:val="7E364882"/>
    <w:rsid w:val="7E5A2022"/>
    <w:rsid w:val="7EAA542D"/>
    <w:rsid w:val="7EBC1979"/>
    <w:rsid w:val="7F1E5656"/>
    <w:rsid w:val="7F5343E4"/>
    <w:rsid w:val="7F612EA0"/>
    <w:rsid w:val="7F6420A1"/>
    <w:rsid w:val="7F8B213F"/>
    <w:rsid w:val="7F8D0B19"/>
    <w:rsid w:val="7FA6645E"/>
    <w:rsid w:val="7FD123EB"/>
    <w:rsid w:val="7FE7501B"/>
    <w:rsid w:val="7FFE6C67"/>
  </w:rsids>
  <m:mathPr>
    <m:mathFont m:val="Cambria Math"/>
    <m:brkBin m:val="before"/>
    <m:brkBinSub m:val="--"/>
    <m:smallFrac m:val="1"/>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semiHidden="0" w:name="heading 2"/>
    <w:lsdException w:qFormat="1" w:uiPriority="9" w:semiHidden="0" w:name="heading 3"/>
    <w:lsdException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qFormat="1" w:uiPriority="39" w:semiHidden="0" w:name="toc 1"/>
    <w:lsdException w:qFormat="1" w:uiPriority="39" w:semiHidden="0" w:name="toc 2"/>
    <w:lsdException w:qFormat="1" w:uiPriority="39" w:semiHidden="0" w:name="toc 3"/>
    <w:lsdException w:qFormat="1" w:uiPriority="39" w:semiHidden="0" w:name="toc 4"/>
    <w:lsdException w:qFormat="1" w:uiPriority="39" w:semiHidden="0" w:name="toc 5"/>
    <w:lsdException w:qFormat="1" w:uiPriority="39" w:semiHidden="0" w:name="toc 6"/>
    <w:lsdException w:qFormat="1" w:uiPriority="39" w:semiHidden="0" w:name="toc 7"/>
    <w:lsdException w:qFormat="1" w:uiPriority="39" w:semiHidden="0" w:name="toc 8"/>
    <w:lsdException w:qFormat="1" w:uiPriority="39" w:semiHidden="0" w:name="toc 9"/>
    <w:lsdException w:qFormat="1" w:unhideWhenUsed="0" w:uiPriority="99" w:semiHidden="0"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qFormat="1" w:unhideWhenUsed="0" w:uiPriority="0" w:semiHidden="0"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unhideWhenUsed="0" w:uiPriority="10" w:semiHidden="0" w:name="Title"/>
    <w:lsdException w:uiPriority="99" w:name="Closing"/>
    <w:lsdException w:uiPriority="99" w:name="Signature"/>
    <w:lsdException w:qFormat="1" w:uiPriority="1" w:name="Default Paragraph Font"/>
    <w:lsdException w:qFormat="1" w:unhideWhenUsed="0" w:uiPriority="0" w:semiHidden="0" w:name="Body Text"/>
    <w:lsdException w:qFormat="1" w:unhideWhenUsed="0" w:uiPriority="0" w:semiHidden="0"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unhideWhenUsed="0" w:uiPriority="11" w:semiHidden="0" w:name="Subtitle"/>
    <w:lsdException w:uiPriority="99" w:name="Salutation"/>
    <w:lsdException w:uiPriority="99" w:name="Date"/>
    <w:lsdException w:qFormat="1" w:uiPriority="99" w:semiHidden="0" w:name="Body Text First Indent"/>
    <w:lsdException w:qFormat="1" w:unhideWhenUsed="0" w:uiPriority="99" w:semiHidden="0" w:name="Body Text First Indent 2"/>
    <w:lsdException w:uiPriority="99" w:name="Note Heading"/>
    <w:lsdException w:qFormat="1" w:unhideWhenUsed="0" w:uiPriority="0" w:semiHidden="0" w:name="Body Text 2"/>
    <w:lsdException w:qFormat="1" w:unhideWhenUsed="0" w:uiPriority="0" w:semiHidden="0" w:name="Body Text 3"/>
    <w:lsdException w:uiPriority="99" w:name="Body Text Indent 2"/>
    <w:lsdException w:uiPriority="99" w:name="Body Text Indent 3"/>
    <w:lsdException w:uiPriority="99" w:name="Block Text"/>
    <w:lsdException w:qFormat="1" w:uiPriority="99" w:semiHidden="0" w:name="Hyperlink"/>
    <w:lsdException w:uiPriority="99" w:name="FollowedHyperlink"/>
    <w:lsdException w:unhideWhenUsed="0" w:uiPriority="22" w:semiHidden="0" w:name="Strong"/>
    <w:lsdException w:unhideWhenUsed="0" w:uiPriority="20" w:semiHidden="0" w:name="Emphasis"/>
    <w:lsdException w:qFormat="1" w:uiPriority="99" w:name="Document Map"/>
    <w:lsdException w:qFormat="1" w:unhideWhenUsed="0" w:uiPriority="0" w:semiHidden="0"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qFormat="1" w:uiPriority="99" w:name="Balloon Text"/>
    <w:lsdException w:qFormat="1" w:unhideWhenUsed="0" w:uiPriority="59" w:semiHidden="0" w:name="Table Grid"/>
    <w:lsdException w:uiPriority="99" w:name="Table Theme"/>
    <w:lsdException w:qFormat="1" w:unhideWhenUsed="0" w:uiPriority="1" w:semiHidden="0" w:name="No Spacing"/>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qFormat="1" w:unhideWhenUsed="0" w:uiPriority="34" w:semiHidden="0" w:name="List Paragraph"/>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jc w:val="both"/>
    </w:pPr>
    <w:rPr>
      <w:rFonts w:ascii="Times New Roman" w:hAnsi="Times New Roman" w:eastAsia="宋体" w:cstheme="minorBidi"/>
      <w:kern w:val="2"/>
      <w:sz w:val="21"/>
      <w:szCs w:val="22"/>
      <w:lang w:val="en-US" w:eastAsia="zh-CN" w:bidi="ar-SA"/>
    </w:rPr>
  </w:style>
  <w:style w:type="paragraph" w:styleId="3">
    <w:name w:val="heading 1"/>
    <w:basedOn w:val="1"/>
    <w:next w:val="1"/>
    <w:link w:val="33"/>
    <w:qFormat/>
    <w:uiPriority w:val="9"/>
    <w:pPr>
      <w:keepNext/>
      <w:keepLines/>
      <w:spacing w:before="120" w:after="120"/>
      <w:outlineLvl w:val="0"/>
    </w:pPr>
    <w:rPr>
      <w:b/>
      <w:bCs/>
      <w:kern w:val="44"/>
      <w:sz w:val="32"/>
      <w:szCs w:val="44"/>
    </w:rPr>
  </w:style>
  <w:style w:type="paragraph" w:styleId="4">
    <w:name w:val="heading 2"/>
    <w:basedOn w:val="1"/>
    <w:next w:val="1"/>
    <w:link w:val="36"/>
    <w:unhideWhenUsed/>
    <w:qFormat/>
    <w:uiPriority w:val="9"/>
    <w:pPr>
      <w:keepNext/>
      <w:keepLines/>
      <w:spacing w:before="100"/>
      <w:outlineLvl w:val="1"/>
    </w:pPr>
    <w:rPr>
      <w:rFonts w:eastAsiaTheme="majorEastAsia" w:cstheme="majorBidi"/>
      <w:b/>
      <w:bCs/>
      <w:sz w:val="28"/>
      <w:szCs w:val="32"/>
    </w:rPr>
  </w:style>
  <w:style w:type="paragraph" w:styleId="5">
    <w:name w:val="heading 3"/>
    <w:basedOn w:val="1"/>
    <w:next w:val="1"/>
    <w:link w:val="38"/>
    <w:unhideWhenUsed/>
    <w:qFormat/>
    <w:uiPriority w:val="9"/>
    <w:pPr>
      <w:keepNext/>
      <w:keepLines/>
      <w:outlineLvl w:val="2"/>
    </w:pPr>
    <w:rPr>
      <w:b/>
      <w:bCs/>
      <w:sz w:val="24"/>
      <w:szCs w:val="32"/>
    </w:rPr>
  </w:style>
  <w:style w:type="character" w:default="1" w:styleId="28">
    <w:name w:val="Default Paragraph Font"/>
    <w:semiHidden/>
    <w:unhideWhenUsed/>
    <w:qFormat/>
    <w:uiPriority w:val="1"/>
  </w:style>
  <w:style w:type="table" w:default="1" w:styleId="26">
    <w:name w:val="Normal Table"/>
    <w:semiHidden/>
    <w:unhideWhenUsed/>
    <w:qFormat/>
    <w:uiPriority w:val="99"/>
    <w:tblPr>
      <w:tblCellMar>
        <w:top w:w="0" w:type="dxa"/>
        <w:left w:w="108" w:type="dxa"/>
        <w:bottom w:w="0" w:type="dxa"/>
        <w:right w:w="108" w:type="dxa"/>
      </w:tblCellMar>
    </w:tblPr>
  </w:style>
  <w:style w:type="paragraph" w:styleId="2">
    <w:name w:val="Normal Indent"/>
    <w:basedOn w:val="1"/>
    <w:qFormat/>
    <w:uiPriority w:val="99"/>
    <w:pPr>
      <w:widowControl/>
      <w:spacing w:line="240" w:lineRule="auto"/>
      <w:ind w:firstLine="420" w:firstLineChars="0"/>
      <w:jc w:val="left"/>
    </w:pPr>
    <w:rPr>
      <w:kern w:val="0"/>
      <w:sz w:val="20"/>
      <w:szCs w:val="20"/>
    </w:rPr>
  </w:style>
  <w:style w:type="paragraph" w:styleId="6">
    <w:name w:val="toc 7"/>
    <w:basedOn w:val="1"/>
    <w:next w:val="1"/>
    <w:unhideWhenUsed/>
    <w:qFormat/>
    <w:uiPriority w:val="39"/>
    <w:pPr>
      <w:spacing w:line="240" w:lineRule="auto"/>
      <w:ind w:left="2520" w:leftChars="1200"/>
    </w:pPr>
    <w:rPr>
      <w:rFonts w:asciiTheme="minorHAnsi" w:hAnsiTheme="minorHAnsi" w:eastAsiaTheme="minorEastAsia"/>
    </w:rPr>
  </w:style>
  <w:style w:type="paragraph" w:styleId="7">
    <w:name w:val="Document Map"/>
    <w:basedOn w:val="1"/>
    <w:link w:val="47"/>
    <w:semiHidden/>
    <w:unhideWhenUsed/>
    <w:qFormat/>
    <w:uiPriority w:val="99"/>
    <w:rPr>
      <w:rFonts w:ascii="宋体"/>
      <w:sz w:val="18"/>
      <w:szCs w:val="18"/>
    </w:rPr>
  </w:style>
  <w:style w:type="paragraph" w:styleId="8">
    <w:name w:val="Body Text 3"/>
    <w:basedOn w:val="1"/>
    <w:qFormat/>
    <w:uiPriority w:val="0"/>
    <w:pPr>
      <w:spacing w:after="120"/>
    </w:pPr>
    <w:rPr>
      <w:sz w:val="16"/>
      <w:szCs w:val="16"/>
      <w:lang w:val="zh-CN"/>
    </w:rPr>
  </w:style>
  <w:style w:type="paragraph" w:styleId="9">
    <w:name w:val="Body Text"/>
    <w:basedOn w:val="1"/>
    <w:next w:val="10"/>
    <w:link w:val="54"/>
    <w:qFormat/>
    <w:uiPriority w:val="0"/>
    <w:pPr>
      <w:widowControl/>
      <w:adjustRightInd w:val="0"/>
      <w:snapToGrid w:val="0"/>
      <w:spacing w:after="120" w:line="240" w:lineRule="auto"/>
      <w:jc w:val="left"/>
    </w:pPr>
    <w:rPr>
      <w:rFonts w:asciiTheme="minorHAnsi" w:hAnsiTheme="minorHAnsi" w:eastAsiaTheme="minorEastAsia"/>
      <w:kern w:val="0"/>
      <w:sz w:val="22"/>
    </w:rPr>
  </w:style>
  <w:style w:type="paragraph" w:styleId="10">
    <w:name w:val="Body Text 2"/>
    <w:basedOn w:val="1"/>
    <w:link w:val="55"/>
    <w:qFormat/>
    <w:uiPriority w:val="0"/>
    <w:pPr>
      <w:widowControl/>
      <w:adjustRightInd w:val="0"/>
      <w:snapToGrid w:val="0"/>
      <w:spacing w:after="120" w:line="480" w:lineRule="auto"/>
      <w:jc w:val="left"/>
    </w:pPr>
    <w:rPr>
      <w:rFonts w:ascii="Tahoma" w:hAnsi="Tahoma" w:eastAsia="微软雅黑"/>
      <w:kern w:val="0"/>
      <w:sz w:val="22"/>
    </w:rPr>
  </w:style>
  <w:style w:type="paragraph" w:styleId="11">
    <w:name w:val="Body Text Indent"/>
    <w:basedOn w:val="1"/>
    <w:qFormat/>
    <w:uiPriority w:val="0"/>
    <w:pPr>
      <w:ind w:firstLine="360" w:firstLineChars="200"/>
    </w:pPr>
    <w:rPr>
      <w:sz w:val="18"/>
    </w:rPr>
  </w:style>
  <w:style w:type="paragraph" w:styleId="12">
    <w:name w:val="toc 5"/>
    <w:basedOn w:val="1"/>
    <w:next w:val="1"/>
    <w:unhideWhenUsed/>
    <w:qFormat/>
    <w:uiPriority w:val="39"/>
    <w:pPr>
      <w:spacing w:line="240" w:lineRule="auto"/>
      <w:ind w:left="1680" w:leftChars="800"/>
    </w:pPr>
    <w:rPr>
      <w:rFonts w:asciiTheme="minorHAnsi" w:hAnsiTheme="minorHAnsi" w:eastAsiaTheme="minorEastAsia"/>
    </w:rPr>
  </w:style>
  <w:style w:type="paragraph" w:styleId="13">
    <w:name w:val="toc 3"/>
    <w:basedOn w:val="1"/>
    <w:next w:val="1"/>
    <w:unhideWhenUsed/>
    <w:qFormat/>
    <w:uiPriority w:val="39"/>
    <w:pPr>
      <w:spacing w:line="240" w:lineRule="auto"/>
      <w:ind w:left="400" w:leftChars="400"/>
    </w:pPr>
  </w:style>
  <w:style w:type="paragraph" w:styleId="14">
    <w:name w:val="Plain Text"/>
    <w:basedOn w:val="1"/>
    <w:link w:val="45"/>
    <w:qFormat/>
    <w:uiPriority w:val="0"/>
    <w:pPr>
      <w:spacing w:line="240" w:lineRule="auto"/>
      <w:ind w:firstLine="200" w:firstLineChars="200"/>
    </w:pPr>
    <w:rPr>
      <w:rFonts w:ascii="宋体" w:hAnsi="Courier New" w:eastAsia="仿宋_GB2312" w:cs="Courier New"/>
      <w:szCs w:val="21"/>
    </w:rPr>
  </w:style>
  <w:style w:type="paragraph" w:styleId="15">
    <w:name w:val="toc 8"/>
    <w:basedOn w:val="1"/>
    <w:next w:val="1"/>
    <w:unhideWhenUsed/>
    <w:qFormat/>
    <w:uiPriority w:val="39"/>
    <w:pPr>
      <w:spacing w:line="240" w:lineRule="auto"/>
      <w:ind w:left="2940" w:leftChars="1400"/>
    </w:pPr>
    <w:rPr>
      <w:rFonts w:asciiTheme="minorHAnsi" w:hAnsiTheme="minorHAnsi" w:eastAsiaTheme="minorEastAsia"/>
    </w:rPr>
  </w:style>
  <w:style w:type="paragraph" w:styleId="16">
    <w:name w:val="Balloon Text"/>
    <w:basedOn w:val="1"/>
    <w:link w:val="37"/>
    <w:semiHidden/>
    <w:unhideWhenUsed/>
    <w:qFormat/>
    <w:uiPriority w:val="99"/>
    <w:pPr>
      <w:spacing w:line="240" w:lineRule="auto"/>
    </w:pPr>
    <w:rPr>
      <w:sz w:val="18"/>
      <w:szCs w:val="18"/>
    </w:rPr>
  </w:style>
  <w:style w:type="paragraph" w:styleId="17">
    <w:name w:val="footer"/>
    <w:basedOn w:val="1"/>
    <w:link w:val="35"/>
    <w:unhideWhenUsed/>
    <w:qFormat/>
    <w:uiPriority w:val="99"/>
    <w:pPr>
      <w:tabs>
        <w:tab w:val="center" w:pos="4153"/>
        <w:tab w:val="right" w:pos="8306"/>
      </w:tabs>
      <w:snapToGrid w:val="0"/>
      <w:jc w:val="left"/>
    </w:pPr>
    <w:rPr>
      <w:sz w:val="18"/>
      <w:szCs w:val="18"/>
    </w:rPr>
  </w:style>
  <w:style w:type="paragraph" w:styleId="18">
    <w:name w:val="header"/>
    <w:basedOn w:val="1"/>
    <w:link w:val="34"/>
    <w:unhideWhenUsed/>
    <w:qFormat/>
    <w:uiPriority w:val="99"/>
    <w:pPr>
      <w:pBdr>
        <w:bottom w:val="single" w:color="auto" w:sz="6" w:space="1"/>
      </w:pBdr>
      <w:tabs>
        <w:tab w:val="center" w:pos="4153"/>
        <w:tab w:val="right" w:pos="8306"/>
      </w:tabs>
      <w:snapToGrid w:val="0"/>
      <w:jc w:val="center"/>
    </w:pPr>
    <w:rPr>
      <w:sz w:val="18"/>
      <w:szCs w:val="18"/>
    </w:rPr>
  </w:style>
  <w:style w:type="paragraph" w:styleId="19">
    <w:name w:val="toc 1"/>
    <w:basedOn w:val="1"/>
    <w:next w:val="1"/>
    <w:unhideWhenUsed/>
    <w:qFormat/>
    <w:uiPriority w:val="39"/>
    <w:pPr>
      <w:tabs>
        <w:tab w:val="right" w:leader="dot" w:pos="9730"/>
      </w:tabs>
      <w:spacing w:line="240" w:lineRule="auto"/>
    </w:pPr>
  </w:style>
  <w:style w:type="paragraph" w:styleId="20">
    <w:name w:val="toc 4"/>
    <w:basedOn w:val="1"/>
    <w:next w:val="1"/>
    <w:unhideWhenUsed/>
    <w:qFormat/>
    <w:uiPriority w:val="39"/>
    <w:pPr>
      <w:spacing w:line="240" w:lineRule="auto"/>
      <w:ind w:left="1260" w:leftChars="600"/>
    </w:pPr>
    <w:rPr>
      <w:rFonts w:asciiTheme="minorHAnsi" w:hAnsiTheme="minorHAnsi" w:eastAsiaTheme="minorEastAsia"/>
    </w:rPr>
  </w:style>
  <w:style w:type="paragraph" w:styleId="21">
    <w:name w:val="toc 6"/>
    <w:basedOn w:val="1"/>
    <w:next w:val="1"/>
    <w:unhideWhenUsed/>
    <w:qFormat/>
    <w:uiPriority w:val="39"/>
    <w:pPr>
      <w:spacing w:line="240" w:lineRule="auto"/>
      <w:ind w:left="2100" w:leftChars="1000"/>
    </w:pPr>
    <w:rPr>
      <w:rFonts w:asciiTheme="minorHAnsi" w:hAnsiTheme="minorHAnsi" w:eastAsiaTheme="minorEastAsia"/>
    </w:rPr>
  </w:style>
  <w:style w:type="paragraph" w:styleId="22">
    <w:name w:val="toc 2"/>
    <w:basedOn w:val="1"/>
    <w:next w:val="1"/>
    <w:unhideWhenUsed/>
    <w:qFormat/>
    <w:uiPriority w:val="39"/>
    <w:pPr>
      <w:tabs>
        <w:tab w:val="right" w:leader="dot" w:pos="9730"/>
      </w:tabs>
      <w:spacing w:line="240" w:lineRule="auto"/>
      <w:ind w:left="420" w:leftChars="200"/>
    </w:pPr>
  </w:style>
  <w:style w:type="paragraph" w:styleId="23">
    <w:name w:val="toc 9"/>
    <w:basedOn w:val="1"/>
    <w:next w:val="1"/>
    <w:unhideWhenUsed/>
    <w:qFormat/>
    <w:uiPriority w:val="39"/>
    <w:pPr>
      <w:spacing w:line="240" w:lineRule="auto"/>
      <w:ind w:left="3360" w:leftChars="1600"/>
    </w:pPr>
    <w:rPr>
      <w:rFonts w:asciiTheme="minorHAnsi" w:hAnsiTheme="minorHAnsi" w:eastAsiaTheme="minorEastAsia"/>
    </w:rPr>
  </w:style>
  <w:style w:type="paragraph" w:styleId="24">
    <w:name w:val="Body Text First Indent"/>
    <w:basedOn w:val="9"/>
    <w:next w:val="1"/>
    <w:unhideWhenUsed/>
    <w:qFormat/>
    <w:uiPriority w:val="99"/>
    <w:pPr>
      <w:widowControl w:val="0"/>
      <w:spacing w:after="120" w:line="360" w:lineRule="auto"/>
      <w:ind w:firstLine="420" w:firstLineChars="100"/>
      <w:jc w:val="both"/>
    </w:pPr>
    <w:rPr>
      <w:rFonts w:ascii="Times New Roman" w:hAnsi="Times New Roman" w:eastAsia="宋体" w:cs="Times New Roman"/>
      <w:sz w:val="24"/>
      <w:lang w:val="en-US" w:eastAsia="zh-CN" w:bidi="ar-SA"/>
    </w:rPr>
  </w:style>
  <w:style w:type="paragraph" w:styleId="25">
    <w:name w:val="Body Text First Indent 2"/>
    <w:basedOn w:val="11"/>
    <w:qFormat/>
    <w:uiPriority w:val="99"/>
    <w:pPr>
      <w:ind w:firstLine="420" w:firstLineChars="200"/>
    </w:pPr>
  </w:style>
  <w:style w:type="table" w:styleId="27">
    <w:name w:val="Table Grid"/>
    <w:basedOn w:val="26"/>
    <w:qFormat/>
    <w:uiPriority w:val="59"/>
    <w:rPr>
      <w:rFonts w:cs="Calibri"/>
    </w:rPr>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w:type="character" w:styleId="29">
    <w:name w:val="page number"/>
    <w:basedOn w:val="28"/>
    <w:qFormat/>
    <w:uiPriority w:val="0"/>
    <w:rPr>
      <w:rFonts w:cs="Times New Roman"/>
    </w:rPr>
  </w:style>
  <w:style w:type="character" w:styleId="30">
    <w:name w:val="Hyperlink"/>
    <w:basedOn w:val="28"/>
    <w:unhideWhenUsed/>
    <w:qFormat/>
    <w:uiPriority w:val="99"/>
    <w:rPr>
      <w:color w:val="0563C1" w:themeColor="hyperlink"/>
      <w:u w:val="single"/>
    </w:rPr>
  </w:style>
  <w:style w:type="paragraph" w:customStyle="1" w:styleId="31">
    <w:name w:val="BodyText"/>
    <w:basedOn w:val="1"/>
    <w:next w:val="32"/>
    <w:qFormat/>
    <w:uiPriority w:val="0"/>
    <w:pPr>
      <w:spacing w:after="120"/>
      <w:jc w:val="both"/>
      <w:textAlignment w:val="baseline"/>
    </w:pPr>
  </w:style>
  <w:style w:type="paragraph" w:customStyle="1" w:styleId="32">
    <w:name w:val="BodyText2"/>
    <w:basedOn w:val="1"/>
    <w:qFormat/>
    <w:uiPriority w:val="0"/>
    <w:pPr>
      <w:widowControl/>
      <w:snapToGrid w:val="0"/>
      <w:spacing w:after="120" w:line="480" w:lineRule="auto"/>
      <w:jc w:val="left"/>
      <w:textAlignment w:val="baseline"/>
    </w:pPr>
    <w:rPr>
      <w:rFonts w:ascii="Tahoma" w:hAnsi="Tahoma" w:eastAsia="微软雅黑"/>
      <w:kern w:val="0"/>
      <w:sz w:val="22"/>
      <w:szCs w:val="22"/>
      <w:lang w:val="en-US" w:eastAsia="zh-CN" w:bidi="ar-SA"/>
    </w:rPr>
  </w:style>
  <w:style w:type="character" w:customStyle="1" w:styleId="33">
    <w:name w:val="标题 1 Char"/>
    <w:basedOn w:val="28"/>
    <w:link w:val="3"/>
    <w:qFormat/>
    <w:uiPriority w:val="9"/>
    <w:rPr>
      <w:rFonts w:ascii="Times New Roman" w:hAnsi="Times New Roman" w:eastAsia="宋体"/>
      <w:b/>
      <w:bCs/>
      <w:kern w:val="44"/>
      <w:sz w:val="32"/>
      <w:szCs w:val="44"/>
    </w:rPr>
  </w:style>
  <w:style w:type="character" w:customStyle="1" w:styleId="34">
    <w:name w:val="页眉 Char"/>
    <w:basedOn w:val="28"/>
    <w:link w:val="18"/>
    <w:qFormat/>
    <w:uiPriority w:val="99"/>
    <w:rPr>
      <w:sz w:val="18"/>
      <w:szCs w:val="18"/>
    </w:rPr>
  </w:style>
  <w:style w:type="character" w:customStyle="1" w:styleId="35">
    <w:name w:val="页脚 Char"/>
    <w:basedOn w:val="28"/>
    <w:link w:val="17"/>
    <w:qFormat/>
    <w:uiPriority w:val="99"/>
    <w:rPr>
      <w:sz w:val="18"/>
      <w:szCs w:val="18"/>
    </w:rPr>
  </w:style>
  <w:style w:type="character" w:customStyle="1" w:styleId="36">
    <w:name w:val="标题 2 Char"/>
    <w:basedOn w:val="28"/>
    <w:link w:val="4"/>
    <w:qFormat/>
    <w:uiPriority w:val="9"/>
    <w:rPr>
      <w:rFonts w:ascii="Times New Roman" w:hAnsi="Times New Roman" w:eastAsiaTheme="majorEastAsia" w:cstheme="majorBidi"/>
      <w:b/>
      <w:bCs/>
      <w:sz w:val="28"/>
      <w:szCs w:val="32"/>
    </w:rPr>
  </w:style>
  <w:style w:type="character" w:customStyle="1" w:styleId="37">
    <w:name w:val="批注框文本 Char"/>
    <w:basedOn w:val="28"/>
    <w:link w:val="16"/>
    <w:semiHidden/>
    <w:qFormat/>
    <w:uiPriority w:val="99"/>
    <w:rPr>
      <w:rFonts w:ascii="Times New Roman" w:hAnsi="Times New Roman" w:eastAsia="宋体"/>
      <w:sz w:val="18"/>
      <w:szCs w:val="18"/>
    </w:rPr>
  </w:style>
  <w:style w:type="character" w:customStyle="1" w:styleId="38">
    <w:name w:val="标题 3 Char"/>
    <w:basedOn w:val="28"/>
    <w:link w:val="5"/>
    <w:qFormat/>
    <w:uiPriority w:val="9"/>
    <w:rPr>
      <w:rFonts w:ascii="Times New Roman" w:hAnsi="Times New Roman" w:eastAsia="宋体"/>
      <w:b/>
      <w:bCs/>
      <w:sz w:val="24"/>
      <w:szCs w:val="32"/>
    </w:rPr>
  </w:style>
  <w:style w:type="paragraph" w:customStyle="1" w:styleId="39">
    <w:name w:val="正文 含缩进"/>
    <w:basedOn w:val="1"/>
    <w:link w:val="40"/>
    <w:qFormat/>
    <w:uiPriority w:val="0"/>
    <w:pPr>
      <w:ind w:firstLine="424" w:firstLineChars="202"/>
      <w:jc w:val="left"/>
    </w:pPr>
  </w:style>
  <w:style w:type="character" w:customStyle="1" w:styleId="40">
    <w:name w:val="正文 含缩进 Char"/>
    <w:basedOn w:val="28"/>
    <w:link w:val="39"/>
    <w:qFormat/>
    <w:uiPriority w:val="0"/>
    <w:rPr>
      <w:rFonts w:ascii="Times New Roman" w:hAnsi="Times New Roman" w:eastAsia="宋体"/>
    </w:rPr>
  </w:style>
  <w:style w:type="paragraph" w:customStyle="1" w:styleId="41">
    <w:name w:val="3级标题-大项"/>
    <w:basedOn w:val="5"/>
    <w:link w:val="43"/>
    <w:qFormat/>
    <w:uiPriority w:val="0"/>
    <w:rPr>
      <w:sz w:val="28"/>
    </w:rPr>
  </w:style>
  <w:style w:type="paragraph" w:styleId="42">
    <w:name w:val="No Spacing"/>
    <w:qFormat/>
    <w:uiPriority w:val="1"/>
    <w:pPr>
      <w:widowControl w:val="0"/>
      <w:jc w:val="both"/>
    </w:pPr>
    <w:rPr>
      <w:rFonts w:ascii="Times New Roman" w:hAnsi="Times New Roman" w:eastAsia="宋体" w:cstheme="minorBidi"/>
      <w:kern w:val="2"/>
      <w:sz w:val="21"/>
      <w:szCs w:val="22"/>
      <w:lang w:val="en-US" w:eastAsia="zh-CN" w:bidi="ar-SA"/>
    </w:rPr>
  </w:style>
  <w:style w:type="character" w:customStyle="1" w:styleId="43">
    <w:name w:val="3级标题-大项 Char"/>
    <w:basedOn w:val="38"/>
    <w:link w:val="41"/>
    <w:qFormat/>
    <w:uiPriority w:val="0"/>
    <w:rPr>
      <w:rFonts w:ascii="Times New Roman" w:hAnsi="Times New Roman" w:eastAsia="宋体"/>
      <w:sz w:val="28"/>
      <w:szCs w:val="32"/>
    </w:rPr>
  </w:style>
  <w:style w:type="paragraph" w:customStyle="1" w:styleId="44">
    <w:name w:val="样式 标题 2 + Times New Roman 四号 非加粗 段前: 5 磅 段后: 0 磅 行距: 固定值 20..."/>
    <w:basedOn w:val="4"/>
    <w:qFormat/>
    <w:uiPriority w:val="0"/>
    <w:pPr>
      <w:spacing w:line="400" w:lineRule="exact"/>
    </w:pPr>
    <w:rPr>
      <w:rFonts w:eastAsia="黑体" w:cs="宋体"/>
      <w:b w:val="0"/>
      <w:bCs w:val="0"/>
      <w:szCs w:val="20"/>
    </w:rPr>
  </w:style>
  <w:style w:type="character" w:customStyle="1" w:styleId="45">
    <w:name w:val="纯文本 Char"/>
    <w:basedOn w:val="28"/>
    <w:link w:val="14"/>
    <w:qFormat/>
    <w:uiPriority w:val="0"/>
    <w:rPr>
      <w:rFonts w:ascii="宋体" w:hAnsi="Courier New" w:eastAsia="仿宋_GB2312" w:cs="Courier New"/>
      <w:szCs w:val="21"/>
    </w:rPr>
  </w:style>
  <w:style w:type="paragraph" w:customStyle="1" w:styleId="46">
    <w:name w:val="样式 标题 3 + (中文) 黑体 小四 非加粗 段前: 7.8 磅 段后: 0 磅 行距: 固定值 20 磅"/>
    <w:basedOn w:val="5"/>
    <w:qFormat/>
    <w:uiPriority w:val="99"/>
    <w:pPr>
      <w:spacing w:line="400" w:lineRule="exact"/>
    </w:pPr>
    <w:rPr>
      <w:rFonts w:eastAsia="黑体" w:cs="宋体"/>
      <w:b w:val="0"/>
      <w:bCs w:val="0"/>
      <w:szCs w:val="20"/>
    </w:rPr>
  </w:style>
  <w:style w:type="character" w:customStyle="1" w:styleId="47">
    <w:name w:val="文档结构图 Char"/>
    <w:basedOn w:val="28"/>
    <w:link w:val="7"/>
    <w:semiHidden/>
    <w:qFormat/>
    <w:uiPriority w:val="99"/>
    <w:rPr>
      <w:rFonts w:ascii="宋体" w:hAnsi="Times New Roman" w:eastAsia="宋体"/>
      <w:sz w:val="18"/>
      <w:szCs w:val="18"/>
    </w:rPr>
  </w:style>
  <w:style w:type="paragraph" w:customStyle="1" w:styleId="48">
    <w:name w:val="修订1"/>
    <w:hidden/>
    <w:semiHidden/>
    <w:qFormat/>
    <w:uiPriority w:val="99"/>
    <w:rPr>
      <w:rFonts w:ascii="Times New Roman" w:hAnsi="Times New Roman" w:eastAsia="宋体" w:cstheme="minorBidi"/>
      <w:kern w:val="2"/>
      <w:sz w:val="21"/>
      <w:szCs w:val="22"/>
      <w:lang w:val="en-US" w:eastAsia="zh-CN" w:bidi="ar-SA"/>
    </w:rPr>
  </w:style>
  <w:style w:type="paragraph" w:customStyle="1" w:styleId="49">
    <w:name w:val="paragraphindent"/>
    <w:basedOn w:val="1"/>
    <w:qFormat/>
    <w:uiPriority w:val="0"/>
    <w:pPr>
      <w:widowControl/>
      <w:spacing w:before="100" w:beforeAutospacing="1" w:after="100" w:afterAutospacing="1" w:line="240" w:lineRule="auto"/>
      <w:jc w:val="left"/>
    </w:pPr>
    <w:rPr>
      <w:rFonts w:ascii="宋体" w:hAnsi="宋体" w:cs="宋体"/>
      <w:kern w:val="0"/>
      <w:sz w:val="24"/>
      <w:szCs w:val="24"/>
    </w:rPr>
  </w:style>
  <w:style w:type="character" w:customStyle="1" w:styleId="50">
    <w:name w:val="标题 2 Char1"/>
    <w:qFormat/>
    <w:locked/>
    <w:uiPriority w:val="0"/>
    <w:rPr>
      <w:rFonts w:ascii="宋体" w:hAnsi="宋体"/>
      <w:b/>
      <w:bCs/>
      <w:kern w:val="2"/>
      <w:sz w:val="24"/>
      <w:szCs w:val="24"/>
    </w:rPr>
  </w:style>
  <w:style w:type="paragraph" w:styleId="51">
    <w:name w:val="List Paragraph"/>
    <w:basedOn w:val="1"/>
    <w:qFormat/>
    <w:uiPriority w:val="34"/>
    <w:pPr>
      <w:spacing w:line="240" w:lineRule="auto"/>
      <w:ind w:firstLine="420" w:firstLineChars="200"/>
    </w:pPr>
    <w:rPr>
      <w:rFonts w:cs="Times New Roman"/>
      <w:szCs w:val="24"/>
    </w:rPr>
  </w:style>
  <w:style w:type="paragraph" w:customStyle="1" w:styleId="52">
    <w:name w:val="Preformatted"/>
    <w:basedOn w:val="1"/>
    <w:qFormat/>
    <w:uiPriority w:val="0"/>
    <w:pPr>
      <w:tabs>
        <w:tab w:val="left" w:pos="0"/>
        <w:tab w:val="left" w:pos="959"/>
        <w:tab w:val="left" w:pos="1918"/>
        <w:tab w:val="left" w:pos="2877"/>
        <w:tab w:val="left" w:pos="3836"/>
        <w:tab w:val="left" w:pos="4795"/>
        <w:tab w:val="left" w:pos="5754"/>
        <w:tab w:val="left" w:pos="6713"/>
        <w:tab w:val="left" w:pos="7672"/>
        <w:tab w:val="left" w:pos="8631"/>
        <w:tab w:val="left" w:pos="9590"/>
      </w:tabs>
      <w:autoSpaceDE w:val="0"/>
      <w:autoSpaceDN w:val="0"/>
      <w:adjustRightInd w:val="0"/>
      <w:jc w:val="left"/>
    </w:pPr>
    <w:rPr>
      <w:rFonts w:ascii="Courier New" w:hAnsi="Courier New" w:cs="Courier New"/>
      <w:kern w:val="0"/>
      <w:sz w:val="20"/>
      <w:szCs w:val="20"/>
    </w:rPr>
  </w:style>
  <w:style w:type="paragraph" w:customStyle="1" w:styleId="53">
    <w:name w:val="列出段落3"/>
    <w:basedOn w:val="1"/>
    <w:qFormat/>
    <w:uiPriority w:val="0"/>
    <w:pPr>
      <w:spacing w:line="240" w:lineRule="auto"/>
      <w:ind w:firstLine="420" w:firstLineChars="200"/>
    </w:pPr>
    <w:rPr>
      <w:rFonts w:ascii="Calibri" w:hAnsi="Calibri" w:cs="Times New Roman"/>
      <w:szCs w:val="21"/>
    </w:rPr>
  </w:style>
  <w:style w:type="character" w:customStyle="1" w:styleId="54">
    <w:name w:val="正文文本 Char"/>
    <w:basedOn w:val="28"/>
    <w:link w:val="9"/>
    <w:qFormat/>
    <w:uiPriority w:val="0"/>
    <w:rPr>
      <w:rFonts w:asciiTheme="minorHAnsi" w:hAnsiTheme="minorHAnsi" w:eastAsiaTheme="minorEastAsia" w:cstheme="minorBidi"/>
      <w:sz w:val="22"/>
      <w:szCs w:val="22"/>
    </w:rPr>
  </w:style>
  <w:style w:type="character" w:customStyle="1" w:styleId="55">
    <w:name w:val="正文文本 2 Char"/>
    <w:basedOn w:val="28"/>
    <w:link w:val="10"/>
    <w:qFormat/>
    <w:uiPriority w:val="0"/>
    <w:rPr>
      <w:rFonts w:ascii="Tahoma" w:hAnsi="Tahoma" w:eastAsia="微软雅黑" w:cstheme="minorBidi"/>
      <w:sz w:val="22"/>
      <w:szCs w:val="22"/>
    </w:rPr>
  </w:style>
  <w:style w:type="paragraph" w:customStyle="1" w:styleId="56">
    <w:name w:val="样式 样式 首行缩进:  2 字符 + 首行缩进:  2 字符"/>
    <w:basedOn w:val="57"/>
    <w:qFormat/>
    <w:uiPriority w:val="0"/>
  </w:style>
  <w:style w:type="paragraph" w:customStyle="1" w:styleId="57">
    <w:name w:val="样式 首行缩进:  2 字符"/>
    <w:basedOn w:val="1"/>
    <w:qFormat/>
    <w:uiPriority w:val="0"/>
    <w:pPr>
      <w:widowControl/>
      <w:autoSpaceDE w:val="0"/>
      <w:autoSpaceDN w:val="0"/>
      <w:adjustRightInd w:val="0"/>
      <w:snapToGrid w:val="0"/>
      <w:spacing w:after="200"/>
      <w:ind w:firstLine="420" w:firstLineChars="200"/>
      <w:jc w:val="left"/>
    </w:pPr>
    <w:rPr>
      <w:rFonts w:ascii="Tahoma" w:hAnsi="Tahoma" w:eastAsia="微软雅黑" w:cs="宋体"/>
      <w:snapToGrid w:val="0"/>
      <w:kern w:val="0"/>
      <w:sz w:val="24"/>
      <w:szCs w:val="20"/>
    </w:rPr>
  </w:style>
  <w:style w:type="paragraph" w:customStyle="1" w:styleId="58">
    <w:name w:val="第正文级别"/>
    <w:basedOn w:val="1"/>
    <w:qFormat/>
    <w:uiPriority w:val="0"/>
    <w:pPr>
      <w:widowControl/>
      <w:adjustRightInd w:val="0"/>
      <w:snapToGrid w:val="0"/>
      <w:spacing w:after="200" w:line="240" w:lineRule="auto"/>
      <w:ind w:firstLine="480" w:firstLineChars="200"/>
      <w:jc w:val="left"/>
    </w:pPr>
    <w:rPr>
      <w:rFonts w:ascii="Tahoma" w:hAnsi="Tahoma" w:eastAsia="微软雅黑" w:cs="宋体"/>
      <w:kern w:val="0"/>
      <w:sz w:val="22"/>
      <w:szCs w:val="20"/>
    </w:rPr>
  </w:style>
  <w:style w:type="paragraph" w:customStyle="1" w:styleId="59">
    <w:name w:val="无编号正文"/>
    <w:basedOn w:val="9"/>
    <w:next w:val="1"/>
    <w:qFormat/>
    <w:uiPriority w:val="0"/>
    <w:pPr>
      <w:ind w:left="200" w:leftChars="200" w:firstLine="200" w:firstLineChars="200"/>
    </w:pPr>
  </w:style>
  <w:style w:type="paragraph" w:customStyle="1" w:styleId="60">
    <w:name w:val="(1)"/>
    <w:basedOn w:val="1"/>
    <w:qFormat/>
    <w:uiPriority w:val="0"/>
    <w:pPr>
      <w:widowControl/>
      <w:numPr>
        <w:ilvl w:val="0"/>
        <w:numId w:val="1"/>
      </w:numPr>
      <w:tabs>
        <w:tab w:val="left" w:pos="1134"/>
      </w:tabs>
      <w:adjustRightInd w:val="0"/>
      <w:snapToGrid w:val="0"/>
      <w:spacing w:after="200" w:line="240" w:lineRule="auto"/>
      <w:jc w:val="left"/>
    </w:pPr>
    <w:rPr>
      <w:rFonts w:ascii="Tahoma" w:hAnsi="Tahoma" w:eastAsia="微软雅黑"/>
      <w:kern w:val="0"/>
      <w:sz w:val="22"/>
    </w:rPr>
  </w:style>
  <w:style w:type="paragraph" w:customStyle="1" w:styleId="61">
    <w:name w:val="*"/>
    <w:basedOn w:val="60"/>
    <w:qFormat/>
    <w:uiPriority w:val="0"/>
    <w:pPr>
      <w:numPr>
        <w:numId w:val="2"/>
      </w:numPr>
      <w:tabs>
        <w:tab w:val="left" w:pos="851"/>
      </w:tabs>
    </w:pPr>
  </w:style>
  <w:style w:type="paragraph" w:customStyle="1" w:styleId="62">
    <w:name w:val="正文2"/>
    <w:qFormat/>
    <w:uiPriority w:val="0"/>
    <w:pPr>
      <w:widowControl w:val="0"/>
      <w:autoSpaceDE w:val="0"/>
      <w:autoSpaceDN w:val="0"/>
      <w:spacing w:line="360" w:lineRule="atLeast"/>
    </w:pPr>
    <w:rPr>
      <w:rFonts w:ascii="仿宋_GB2312" w:hAnsi="Times New Roman" w:eastAsia="仿宋_GB2312" w:cs="Times New Roman"/>
      <w:sz w:val="32"/>
      <w:szCs w:val="22"/>
      <w:lang w:val="en-US" w:eastAsia="zh-CN" w:bidi="ar-SA"/>
    </w:rPr>
  </w:style>
  <w:style w:type="character" w:customStyle="1" w:styleId="63">
    <w:name w:val="font11"/>
    <w:basedOn w:val="28"/>
    <w:qFormat/>
    <w:uiPriority w:val="0"/>
    <w:rPr>
      <w:rFonts w:hint="default" w:ascii="仿宋_GB2312" w:eastAsia="仿宋_GB2312" w:cs="仿宋_GB2312"/>
      <w:color w:val="000000"/>
      <w:sz w:val="20"/>
      <w:szCs w:val="20"/>
      <w:u w:val="none"/>
    </w:rPr>
  </w:style>
  <w:style w:type="character" w:customStyle="1" w:styleId="64">
    <w:name w:val="font01"/>
    <w:basedOn w:val="28"/>
    <w:qFormat/>
    <w:uiPriority w:val="0"/>
    <w:rPr>
      <w:rFonts w:hint="eastAsia" w:ascii="宋体" w:hAnsi="宋体" w:eastAsia="宋体" w:cs="宋体"/>
      <w:color w:val="000000"/>
      <w:sz w:val="20"/>
      <w:szCs w:val="20"/>
      <w:u w:val="none"/>
    </w:rPr>
  </w:style>
  <w:style w:type="character" w:customStyle="1" w:styleId="65">
    <w:name w:val="font31"/>
    <w:basedOn w:val="28"/>
    <w:qFormat/>
    <w:uiPriority w:val="0"/>
    <w:rPr>
      <w:rFonts w:hint="default" w:ascii="仿宋_GB2312" w:eastAsia="仿宋_GB2312" w:cs="仿宋_GB2312"/>
      <w:color w:val="000000"/>
      <w:sz w:val="20"/>
      <w:szCs w:val="20"/>
      <w:u w:val="none"/>
    </w:rPr>
  </w:style>
  <w:style w:type="character" w:customStyle="1" w:styleId="66">
    <w:name w:val="font51"/>
    <w:basedOn w:val="28"/>
    <w:qFormat/>
    <w:uiPriority w:val="0"/>
    <w:rPr>
      <w:rFonts w:hint="eastAsia" w:ascii="宋体" w:hAnsi="宋体" w:eastAsia="宋体" w:cs="宋体"/>
      <w:color w:val="000000"/>
      <w:sz w:val="18"/>
      <w:szCs w:val="18"/>
      <w:u w:val="single"/>
    </w:rPr>
  </w:style>
  <w:style w:type="character" w:customStyle="1" w:styleId="67">
    <w:name w:val="font41"/>
    <w:basedOn w:val="28"/>
    <w:qFormat/>
    <w:uiPriority w:val="0"/>
    <w:rPr>
      <w:rFonts w:hint="eastAsia" w:ascii="宋体" w:hAnsi="宋体" w:eastAsia="宋体" w:cs="宋体"/>
      <w:color w:val="000000"/>
      <w:sz w:val="18"/>
      <w:szCs w:val="18"/>
      <w:u w:val="none"/>
    </w:rPr>
  </w:style>
  <w:style w:type="paragraph" w:customStyle="1" w:styleId="68">
    <w:name w:val="reader-word-layer"/>
    <w:basedOn w:val="1"/>
    <w:qFormat/>
    <w:uiPriority w:val="0"/>
    <w:pPr>
      <w:widowControl/>
      <w:spacing w:before="100" w:beforeAutospacing="1" w:after="100" w:afterAutospacing="1"/>
      <w:jc w:val="left"/>
    </w:pPr>
    <w:rPr>
      <w:rFonts w:ascii="宋体" w:hAnsi="宋体" w:cs="宋体"/>
      <w:kern w:val="0"/>
      <w:sz w:val="24"/>
      <w:szCs w:val="24"/>
    </w:rPr>
  </w:style>
</w:styles>
</file>

<file path=word/_rels/document.xml.rels><?xml version="1.0" encoding="UTF-8" standalone="yes"?>
<Relationships xmlns="http://schemas.openxmlformats.org/package/2006/relationships"><Relationship Id="rId9" Type="http://schemas.openxmlformats.org/officeDocument/2006/relationships/theme" Target="theme/theme1.xml"/><Relationship Id="rId8" Type="http://schemas.openxmlformats.org/officeDocument/2006/relationships/footer" Target="footer3.xml"/><Relationship Id="rId7" Type="http://schemas.openxmlformats.org/officeDocument/2006/relationships/header" Target="header1.xml"/><Relationship Id="rId6" Type="http://schemas.openxmlformats.org/officeDocument/2006/relationships/footer" Target="footer2.xml"/><Relationship Id="rId5" Type="http://schemas.openxmlformats.org/officeDocument/2006/relationships/footer" Target="foot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2.xml"/><Relationship Id="rId11" Type="http://schemas.openxmlformats.org/officeDocument/2006/relationships/numbering" Target="numbering.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4097"/>
  </customShpExts>
</s:customData>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customXml/itemProps2.xml><?xml version="1.0" encoding="utf-8"?>
<ds:datastoreItem xmlns:ds="http://schemas.openxmlformats.org/officeDocument/2006/customXml" ds:itemID="{6CC457EA-A5D4-4C06-B59D-E379EB7D27A6}">
  <ds:schemaRefs/>
</ds:datastoreItem>
</file>

<file path=docProps/app.xml><?xml version="1.0" encoding="utf-8"?>
<Properties xmlns="http://schemas.openxmlformats.org/officeDocument/2006/extended-properties" xmlns:vt="http://schemas.openxmlformats.org/officeDocument/2006/docPropsVTypes">
  <Template>Normal</Template>
  <Company>Microsoft</Company>
  <Pages>88</Pages>
  <Words>33280</Words>
  <Characters>36433</Characters>
  <Lines>430</Lines>
  <Paragraphs>121</Paragraphs>
  <TotalTime>4</TotalTime>
  <ScaleCrop>false</ScaleCrop>
  <LinksUpToDate>false</LinksUpToDate>
  <CharactersWithSpaces>39724</CharactersWithSpaces>
  <Application>WPS Office_11.1.0.10700_F1E327BC-269C-435d-A152-05C5408002CA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2020-06-03T03:08:00Z</dcterms:created>
  <dc:creator>Cunliang LA</dc:creator>
  <cp:lastModifiedBy>张宇</cp:lastModifiedBy>
  <cp:lastPrinted>2019-11-04T01:34:00Z</cp:lastPrinted>
  <dcterms:modified xsi:type="dcterms:W3CDTF">2021-09-06T07:14:54Z</dcterms:modified>
  <cp:revision>5</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2052-11.1.0.10700</vt:lpwstr>
  </property>
  <property fmtid="{D5CDD505-2E9C-101B-9397-08002B2CF9AE}" pid="3" name="ICV">
    <vt:lpwstr>A8EA0E61AF5042909BC73F18FBF3B80C</vt:lpwstr>
  </property>
</Properties>
</file>